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168" w:type="dxa"/>
        <w:tblLayout w:type="fixed"/>
        <w:tblLook w:val="0000" w:firstRow="0" w:lastRow="0" w:firstColumn="0" w:lastColumn="0" w:noHBand="0" w:noVBand="0"/>
      </w:tblPr>
      <w:tblGrid>
        <w:gridCol w:w="4962"/>
        <w:gridCol w:w="667"/>
        <w:gridCol w:w="5003"/>
      </w:tblGrid>
      <w:tr w:rsidR="00996222" w:rsidRPr="003A0D1E" w14:paraId="1C340A9C" w14:textId="77777777" w:rsidTr="00846CDA">
        <w:tc>
          <w:tcPr>
            <w:tcW w:w="4962" w:type="dxa"/>
          </w:tcPr>
          <w:p w14:paraId="5E97D6C0" w14:textId="77777777" w:rsidR="00996222" w:rsidRPr="00937FAC" w:rsidRDefault="00996222" w:rsidP="006D2CA9">
            <w:pPr>
              <w:pStyle w:val="Heading1"/>
              <w:widowControl w:val="0"/>
              <w:numPr>
                <w:ilvl w:val="0"/>
                <w:numId w:val="0"/>
              </w:numPr>
              <w:jc w:val="center"/>
              <w:rPr>
                <w:rFonts w:ascii="Verdana" w:hAnsi="Verdana"/>
                <w:sz w:val="16"/>
              </w:rPr>
            </w:pPr>
            <w:r w:rsidRPr="00937FAC">
              <w:rPr>
                <w:rFonts w:ascii="Verdana" w:hAnsi="Verdana"/>
                <w:sz w:val="16"/>
              </w:rPr>
              <w:t>Statuten</w:t>
            </w:r>
          </w:p>
          <w:p w14:paraId="02167532" w14:textId="77777777" w:rsidR="00996222" w:rsidRPr="006D2CA9" w:rsidRDefault="00996222" w:rsidP="006D2CA9">
            <w:pPr>
              <w:keepNext/>
              <w:keepLines/>
              <w:widowControl w:val="0"/>
              <w:jc w:val="center"/>
              <w:rPr>
                <w:rFonts w:ascii="Verdana" w:hAnsi="Verdana"/>
                <w:sz w:val="16"/>
                <w:lang w:val="de-CH"/>
              </w:rPr>
            </w:pPr>
            <w:r w:rsidRPr="006D2CA9">
              <w:rPr>
                <w:rFonts w:ascii="Verdana" w:hAnsi="Verdana"/>
                <w:sz w:val="16"/>
                <w:lang w:val="de-CH"/>
              </w:rPr>
              <w:t>der</w:t>
            </w:r>
          </w:p>
          <w:p w14:paraId="329AB2CA" w14:textId="7DC22776" w:rsidR="0065206D" w:rsidRPr="0066149F" w:rsidRDefault="009166E2" w:rsidP="006D2CA9">
            <w:pPr>
              <w:pStyle w:val="Heading1"/>
              <w:widowControl w:val="0"/>
              <w:numPr>
                <w:ilvl w:val="0"/>
                <w:numId w:val="0"/>
              </w:numPr>
              <w:spacing w:after="300"/>
              <w:jc w:val="center"/>
              <w:rPr>
                <w:rFonts w:ascii="Verdana" w:hAnsi="Verdana"/>
                <w:b w:val="0"/>
                <w:sz w:val="16"/>
              </w:rPr>
            </w:pPr>
            <w:r w:rsidRPr="0066149F">
              <w:rPr>
                <w:rFonts w:ascii="Verdana" w:hAnsi="Verdana"/>
                <w:sz w:val="16"/>
              </w:rPr>
              <w:t xml:space="preserve">SIG </w:t>
            </w:r>
            <w:r w:rsidR="009216F8" w:rsidRPr="0066149F">
              <w:rPr>
                <w:rFonts w:ascii="Verdana" w:hAnsi="Verdana"/>
                <w:sz w:val="16"/>
              </w:rPr>
              <w:t xml:space="preserve">Group </w:t>
            </w:r>
            <w:r w:rsidRPr="0066149F">
              <w:rPr>
                <w:rFonts w:ascii="Verdana" w:hAnsi="Verdana"/>
                <w:sz w:val="16"/>
              </w:rPr>
              <w:t>AG</w:t>
            </w:r>
            <w:r w:rsidR="00C62486" w:rsidRPr="0066149F">
              <w:rPr>
                <w:rFonts w:ascii="Verdana" w:hAnsi="Verdana"/>
                <w:sz w:val="16"/>
              </w:rPr>
              <w:br/>
              <w:t>(SIG Group Ltd)</w:t>
            </w:r>
            <w:r w:rsidR="00C62486" w:rsidRPr="0066149F">
              <w:rPr>
                <w:rFonts w:ascii="Verdana" w:hAnsi="Verdana"/>
                <w:sz w:val="16"/>
              </w:rPr>
              <w:br/>
              <w:t>(SIG Group SA)</w:t>
            </w:r>
            <w:r w:rsidR="0065206D" w:rsidRPr="0066149F">
              <w:rPr>
                <w:rFonts w:ascii="Verdana" w:hAnsi="Verdana"/>
                <w:sz w:val="16"/>
              </w:rPr>
              <w:t xml:space="preserve"> </w:t>
            </w:r>
            <w:r w:rsidR="0065206D" w:rsidRPr="0066149F" w:rsidDel="0065206D">
              <w:rPr>
                <w:rStyle w:val="FootnoteReference"/>
                <w:rFonts w:ascii="Verdana" w:hAnsi="Verdana"/>
                <w:sz w:val="16"/>
              </w:rPr>
              <w:t xml:space="preserve"> </w:t>
            </w:r>
          </w:p>
          <w:p w14:paraId="73C9CEFE" w14:textId="12DEC770" w:rsidR="00996222" w:rsidRPr="005A5656" w:rsidRDefault="00996222" w:rsidP="006D2CA9">
            <w:pPr>
              <w:pStyle w:val="Heading1"/>
              <w:widowControl w:val="0"/>
              <w:numPr>
                <w:ilvl w:val="0"/>
                <w:numId w:val="0"/>
              </w:numPr>
              <w:spacing w:after="300"/>
              <w:jc w:val="center"/>
              <w:rPr>
                <w:rFonts w:ascii="Verdana" w:hAnsi="Verdana"/>
                <w:b w:val="0"/>
                <w:sz w:val="16"/>
              </w:rPr>
            </w:pPr>
            <w:r w:rsidRPr="005A5656">
              <w:rPr>
                <w:rFonts w:ascii="Verdana" w:hAnsi="Verdana"/>
                <w:b w:val="0"/>
                <w:sz w:val="16"/>
              </w:rPr>
              <w:t xml:space="preserve">mit Sitz in </w:t>
            </w:r>
            <w:r w:rsidR="009216F8" w:rsidRPr="005A5656">
              <w:rPr>
                <w:rFonts w:ascii="Verdana" w:hAnsi="Verdana"/>
                <w:b w:val="0"/>
                <w:sz w:val="16"/>
              </w:rPr>
              <w:t>Neuhausen am Rheinfall</w:t>
            </w:r>
          </w:p>
          <w:p w14:paraId="2016CE6D" w14:textId="77777777" w:rsidR="00996222" w:rsidRPr="005A5656" w:rsidRDefault="00996222" w:rsidP="00C3394A">
            <w:pPr>
              <w:keepNext/>
              <w:keepLines/>
              <w:widowControl w:val="0"/>
              <w:jc w:val="center"/>
              <w:rPr>
                <w:rFonts w:ascii="Verdana" w:hAnsi="Verdana"/>
                <w:b/>
                <w:sz w:val="16"/>
                <w:lang w:val="de-CH"/>
              </w:rPr>
            </w:pPr>
          </w:p>
        </w:tc>
        <w:tc>
          <w:tcPr>
            <w:tcW w:w="667" w:type="dxa"/>
          </w:tcPr>
          <w:p w14:paraId="25F9F1A8" w14:textId="77777777" w:rsidR="00996222" w:rsidRPr="005A5656" w:rsidRDefault="00996222" w:rsidP="00C3394A">
            <w:pPr>
              <w:keepNext/>
              <w:keepLines/>
              <w:widowControl w:val="0"/>
              <w:jc w:val="center"/>
              <w:rPr>
                <w:rFonts w:ascii="Verdana" w:hAnsi="Verdana"/>
                <w:sz w:val="16"/>
                <w:lang w:val="de-CH"/>
              </w:rPr>
            </w:pPr>
          </w:p>
        </w:tc>
        <w:tc>
          <w:tcPr>
            <w:tcW w:w="5003" w:type="dxa"/>
          </w:tcPr>
          <w:p w14:paraId="00B88D81" w14:textId="77777777" w:rsidR="00996222" w:rsidRDefault="00996222" w:rsidP="006D2CA9">
            <w:pPr>
              <w:pStyle w:val="Heading1"/>
              <w:widowControl w:val="0"/>
              <w:numPr>
                <w:ilvl w:val="0"/>
                <w:numId w:val="0"/>
              </w:numPr>
              <w:jc w:val="center"/>
              <w:rPr>
                <w:rFonts w:ascii="Verdana" w:hAnsi="Verdana"/>
                <w:sz w:val="16"/>
                <w:lang w:val="en-US"/>
              </w:rPr>
            </w:pPr>
            <w:r w:rsidRPr="00C62486">
              <w:rPr>
                <w:rFonts w:ascii="Verdana" w:hAnsi="Verdana"/>
                <w:sz w:val="16"/>
                <w:lang w:val="en-US"/>
              </w:rPr>
              <w:t>Articles of</w:t>
            </w:r>
            <w:r w:rsidR="00356061" w:rsidRPr="00C62486">
              <w:rPr>
                <w:rFonts w:ascii="Verdana" w:hAnsi="Verdana"/>
                <w:sz w:val="16"/>
                <w:lang w:val="en-US"/>
              </w:rPr>
              <w:t xml:space="preserve"> Association</w:t>
            </w:r>
          </w:p>
          <w:p w14:paraId="1B5DC522" w14:textId="776076F9" w:rsidR="00C62486" w:rsidRPr="0066149F" w:rsidRDefault="00C62486" w:rsidP="006D2CA9">
            <w:pPr>
              <w:keepNext/>
              <w:keepLines/>
              <w:widowControl w:val="0"/>
              <w:jc w:val="center"/>
              <w:rPr>
                <w:rFonts w:ascii="Verdana" w:hAnsi="Verdana"/>
                <w:sz w:val="16"/>
                <w:lang w:val="en-US"/>
              </w:rPr>
            </w:pPr>
            <w:r w:rsidRPr="0066149F">
              <w:rPr>
                <w:rFonts w:ascii="Verdana" w:hAnsi="Verdana"/>
                <w:sz w:val="16"/>
                <w:lang w:val="en-US"/>
              </w:rPr>
              <w:t>of</w:t>
            </w:r>
          </w:p>
          <w:p w14:paraId="7C261290" w14:textId="69D33C73" w:rsidR="00C62486" w:rsidRPr="009216F8" w:rsidRDefault="009166E2" w:rsidP="006D2CA9">
            <w:pPr>
              <w:pStyle w:val="Heading1"/>
              <w:widowControl w:val="0"/>
              <w:numPr>
                <w:ilvl w:val="0"/>
                <w:numId w:val="0"/>
              </w:numPr>
              <w:spacing w:after="300"/>
              <w:jc w:val="center"/>
              <w:rPr>
                <w:rFonts w:ascii="Verdana" w:hAnsi="Verdana"/>
                <w:b w:val="0"/>
                <w:sz w:val="16"/>
                <w:lang w:val="en-US"/>
              </w:rPr>
            </w:pPr>
            <w:r w:rsidRPr="00C62486">
              <w:rPr>
                <w:rFonts w:ascii="Verdana" w:hAnsi="Verdana"/>
                <w:sz w:val="16"/>
                <w:lang w:val="en-US"/>
              </w:rPr>
              <w:t xml:space="preserve">SIG </w:t>
            </w:r>
            <w:r w:rsidR="009216F8" w:rsidRPr="00C62486">
              <w:rPr>
                <w:rFonts w:ascii="Verdana" w:hAnsi="Verdana"/>
                <w:sz w:val="16"/>
                <w:lang w:val="en-US"/>
              </w:rPr>
              <w:t xml:space="preserve">Group </w:t>
            </w:r>
            <w:r w:rsidRPr="00C62486">
              <w:rPr>
                <w:rFonts w:ascii="Verdana" w:hAnsi="Verdana"/>
                <w:sz w:val="16"/>
                <w:lang w:val="en-US"/>
              </w:rPr>
              <w:t>AG</w:t>
            </w:r>
            <w:r w:rsidR="00C62486">
              <w:rPr>
                <w:rFonts w:ascii="Verdana" w:hAnsi="Verdana"/>
                <w:sz w:val="16"/>
                <w:lang w:val="en-US"/>
              </w:rPr>
              <w:br/>
              <w:t>(SIG Group Ltd)</w:t>
            </w:r>
            <w:r w:rsidR="00C62486">
              <w:rPr>
                <w:rFonts w:ascii="Verdana" w:hAnsi="Verdana"/>
                <w:sz w:val="16"/>
                <w:lang w:val="en-US"/>
              </w:rPr>
              <w:br/>
              <w:t>(SIG Group SA)</w:t>
            </w:r>
            <w:r w:rsidR="00C62486" w:rsidRPr="009216F8">
              <w:rPr>
                <w:rFonts w:ascii="Verdana" w:hAnsi="Verdana"/>
                <w:sz w:val="16"/>
                <w:lang w:val="en-US"/>
              </w:rPr>
              <w:t xml:space="preserve"> </w:t>
            </w:r>
            <w:r w:rsidR="00C62486" w:rsidRPr="009216F8" w:rsidDel="0065206D">
              <w:rPr>
                <w:rStyle w:val="FootnoteReference"/>
                <w:rFonts w:ascii="Verdana" w:hAnsi="Verdana"/>
                <w:sz w:val="16"/>
                <w:lang w:val="en-US"/>
              </w:rPr>
              <w:t xml:space="preserve"> </w:t>
            </w:r>
          </w:p>
          <w:p w14:paraId="49C4C12F" w14:textId="2CD735C8" w:rsidR="00996222" w:rsidRPr="00AC3A88" w:rsidRDefault="00996222" w:rsidP="006D2CA9">
            <w:pPr>
              <w:pStyle w:val="Heading1"/>
              <w:widowControl w:val="0"/>
              <w:numPr>
                <w:ilvl w:val="0"/>
                <w:numId w:val="0"/>
              </w:numPr>
              <w:jc w:val="center"/>
              <w:rPr>
                <w:rFonts w:ascii="Verdana" w:hAnsi="Verdana"/>
                <w:b w:val="0"/>
                <w:sz w:val="16"/>
                <w:lang w:val="en-US"/>
              </w:rPr>
            </w:pPr>
            <w:r w:rsidRPr="00C62486">
              <w:rPr>
                <w:rFonts w:ascii="Verdana" w:hAnsi="Verdana"/>
                <w:b w:val="0"/>
                <w:sz w:val="16"/>
                <w:lang w:val="en-US"/>
              </w:rPr>
              <w:t xml:space="preserve">with registered office in </w:t>
            </w:r>
            <w:r w:rsidR="009216F8" w:rsidRPr="00C62486">
              <w:rPr>
                <w:rFonts w:ascii="Verdana" w:hAnsi="Verdana"/>
                <w:b w:val="0"/>
                <w:sz w:val="16"/>
                <w:lang w:val="en-US"/>
              </w:rPr>
              <w:t>Neuhausen a</w:t>
            </w:r>
            <w:r w:rsidR="009216F8" w:rsidRPr="00AC3A88">
              <w:rPr>
                <w:rFonts w:ascii="Verdana" w:hAnsi="Verdana"/>
                <w:b w:val="0"/>
                <w:sz w:val="16"/>
              </w:rPr>
              <w:t>m Rheinfall</w:t>
            </w:r>
          </w:p>
        </w:tc>
      </w:tr>
      <w:tr w:rsidR="00996222" w:rsidRPr="00AE0949" w14:paraId="28E5E6AF" w14:textId="77777777" w:rsidTr="00846CDA">
        <w:tc>
          <w:tcPr>
            <w:tcW w:w="4962" w:type="dxa"/>
          </w:tcPr>
          <w:p w14:paraId="1387B0AE" w14:textId="77777777" w:rsidR="00C3394A" w:rsidRPr="0066149F" w:rsidRDefault="00C3394A" w:rsidP="00C3394A">
            <w:pPr>
              <w:keepNext/>
              <w:keepLines/>
              <w:widowControl w:val="0"/>
              <w:jc w:val="center"/>
              <w:rPr>
                <w:rFonts w:ascii="Verdana" w:hAnsi="Verdana"/>
                <w:b/>
                <w:sz w:val="16"/>
                <w:lang w:val="de-CH"/>
              </w:rPr>
            </w:pPr>
          </w:p>
          <w:p w14:paraId="5791CAEB" w14:textId="77777777" w:rsidR="00C3394A" w:rsidRPr="00C02C54" w:rsidRDefault="00C3394A" w:rsidP="00C3394A">
            <w:pPr>
              <w:keepNext/>
              <w:keepLines/>
              <w:widowControl w:val="0"/>
              <w:jc w:val="center"/>
              <w:rPr>
                <w:rFonts w:ascii="Verdana" w:hAnsi="Verdana"/>
                <w:b/>
                <w:sz w:val="16"/>
                <w:lang w:val="de-CH"/>
              </w:rPr>
            </w:pPr>
            <w:r w:rsidRPr="00C02C54">
              <w:rPr>
                <w:rFonts w:ascii="Verdana" w:hAnsi="Verdana"/>
                <w:b/>
                <w:sz w:val="16"/>
                <w:lang w:val="de-CH"/>
              </w:rPr>
              <w:t>1. Firma, Sitz, Dauer und Zweck der Gesellschaft</w:t>
            </w:r>
          </w:p>
        </w:tc>
        <w:tc>
          <w:tcPr>
            <w:tcW w:w="667" w:type="dxa"/>
          </w:tcPr>
          <w:p w14:paraId="0F226CB2" w14:textId="77777777" w:rsidR="00996222" w:rsidRPr="00356061" w:rsidRDefault="00996222" w:rsidP="00C3394A">
            <w:pPr>
              <w:keepNext/>
              <w:keepLines/>
              <w:widowControl w:val="0"/>
              <w:spacing w:before="300" w:after="60" w:line="312" w:lineRule="auto"/>
              <w:jc w:val="center"/>
              <w:rPr>
                <w:rFonts w:ascii="Verdana" w:hAnsi="Verdana"/>
                <w:b/>
                <w:sz w:val="16"/>
                <w:lang w:val="de-CH"/>
              </w:rPr>
            </w:pPr>
          </w:p>
        </w:tc>
        <w:tc>
          <w:tcPr>
            <w:tcW w:w="5003" w:type="dxa"/>
          </w:tcPr>
          <w:p w14:paraId="36B09B8B" w14:textId="77777777" w:rsidR="00C3394A" w:rsidRPr="00356061" w:rsidRDefault="00C3394A" w:rsidP="00C3394A">
            <w:pPr>
              <w:keepNext/>
              <w:keepLines/>
              <w:widowControl w:val="0"/>
              <w:spacing w:line="312" w:lineRule="auto"/>
              <w:jc w:val="center"/>
              <w:rPr>
                <w:rFonts w:ascii="Verdana" w:hAnsi="Verdana"/>
                <w:b/>
                <w:sz w:val="16"/>
                <w:lang w:val="de-CH"/>
              </w:rPr>
            </w:pPr>
          </w:p>
          <w:p w14:paraId="304BE3C9" w14:textId="77777777" w:rsidR="00996222" w:rsidRPr="00D95779" w:rsidRDefault="00381735" w:rsidP="00381735">
            <w:pPr>
              <w:keepNext/>
              <w:keepLines/>
              <w:widowControl w:val="0"/>
              <w:spacing w:line="312" w:lineRule="auto"/>
              <w:jc w:val="center"/>
              <w:rPr>
                <w:rFonts w:ascii="Verdana" w:hAnsi="Verdana"/>
                <w:b/>
                <w:sz w:val="16"/>
                <w:lang w:val="en-US"/>
              </w:rPr>
            </w:pPr>
            <w:r>
              <w:rPr>
                <w:rFonts w:ascii="Verdana" w:hAnsi="Verdana"/>
                <w:b/>
                <w:sz w:val="16"/>
                <w:lang w:val="en-GB"/>
              </w:rPr>
              <w:t xml:space="preserve">1. </w:t>
            </w:r>
            <w:r w:rsidRPr="00381735">
              <w:rPr>
                <w:rFonts w:ascii="Verdana" w:hAnsi="Verdana"/>
                <w:b/>
                <w:sz w:val="16"/>
                <w:lang w:val="en-GB"/>
              </w:rPr>
              <w:t xml:space="preserve">Name, registered office, duration </w:t>
            </w:r>
            <w:r w:rsidRPr="00D95779">
              <w:rPr>
                <w:rFonts w:ascii="Verdana" w:hAnsi="Verdana"/>
                <w:b/>
                <w:sz w:val="16"/>
                <w:lang w:val="en-US"/>
              </w:rPr>
              <w:t xml:space="preserve">and </w:t>
            </w:r>
            <w:r w:rsidR="00F257C3" w:rsidRPr="00D95779">
              <w:rPr>
                <w:rFonts w:ascii="Verdana" w:hAnsi="Verdana"/>
                <w:b/>
                <w:sz w:val="16"/>
                <w:lang w:val="en-US"/>
              </w:rPr>
              <w:t>purpose</w:t>
            </w:r>
            <w:r w:rsidRPr="00D95779">
              <w:rPr>
                <w:rFonts w:ascii="Verdana" w:hAnsi="Verdana"/>
                <w:b/>
                <w:sz w:val="16"/>
                <w:lang w:val="en-US"/>
              </w:rPr>
              <w:t xml:space="preserve"> of the company</w:t>
            </w:r>
          </w:p>
          <w:p w14:paraId="6A6E6A03" w14:textId="77777777" w:rsidR="00381735" w:rsidRPr="00937FAC" w:rsidRDefault="00381735" w:rsidP="001D51A9">
            <w:pPr>
              <w:keepNext/>
              <w:keepLines/>
              <w:widowControl w:val="0"/>
              <w:spacing w:line="312" w:lineRule="auto"/>
              <w:ind w:left="850"/>
              <w:jc w:val="center"/>
              <w:rPr>
                <w:rFonts w:ascii="Verdana" w:hAnsi="Verdana"/>
                <w:b/>
                <w:sz w:val="16"/>
                <w:lang w:val="en-GB"/>
              </w:rPr>
            </w:pPr>
          </w:p>
        </w:tc>
      </w:tr>
      <w:tr w:rsidR="00996222" w14:paraId="151AC177" w14:textId="77777777" w:rsidTr="00846CDA">
        <w:tc>
          <w:tcPr>
            <w:tcW w:w="4962" w:type="dxa"/>
          </w:tcPr>
          <w:p w14:paraId="16CF8924" w14:textId="77777777" w:rsidR="00996222" w:rsidRPr="00C3394A" w:rsidRDefault="00996222" w:rsidP="00C3394A">
            <w:pPr>
              <w:keepNext/>
              <w:keepLines/>
              <w:widowControl w:val="0"/>
              <w:jc w:val="center"/>
              <w:rPr>
                <w:rFonts w:ascii="Verdana" w:hAnsi="Verdana"/>
                <w:b/>
                <w:sz w:val="16"/>
                <w:lang w:val="en-US"/>
              </w:rPr>
            </w:pPr>
          </w:p>
          <w:p w14:paraId="32CCDB15" w14:textId="77777777" w:rsidR="00996222" w:rsidRPr="00A1421C" w:rsidRDefault="0015477E" w:rsidP="00C3394A">
            <w:pPr>
              <w:keepNext/>
              <w:keepLines/>
              <w:widowControl w:val="0"/>
              <w:jc w:val="center"/>
              <w:rPr>
                <w:rFonts w:ascii="Verdana" w:hAnsi="Verdana"/>
                <w:b/>
                <w:sz w:val="16"/>
                <w:lang w:val="en-US"/>
              </w:rPr>
            </w:pPr>
            <w:r w:rsidRPr="00A1421C">
              <w:rPr>
                <w:rFonts w:ascii="Verdana" w:hAnsi="Verdana"/>
                <w:b/>
                <w:sz w:val="16"/>
                <w:lang w:val="en-US"/>
              </w:rPr>
              <w:t>Art. 1</w:t>
            </w:r>
          </w:p>
          <w:p w14:paraId="77FD8686" w14:textId="77777777" w:rsidR="00C3394A" w:rsidRPr="00937FAC" w:rsidRDefault="00C3394A" w:rsidP="00C3394A">
            <w:pPr>
              <w:keepNext/>
              <w:keepLines/>
              <w:widowControl w:val="0"/>
              <w:jc w:val="center"/>
              <w:rPr>
                <w:rFonts w:ascii="Verdana" w:hAnsi="Verdana"/>
                <w:b/>
                <w:sz w:val="16"/>
                <w:lang w:val="de-CH"/>
              </w:rPr>
            </w:pPr>
            <w:r w:rsidRPr="00A1421C">
              <w:rPr>
                <w:rFonts w:ascii="Verdana" w:hAnsi="Verdana"/>
                <w:b/>
                <w:sz w:val="16"/>
                <w:lang w:val="en-US"/>
              </w:rPr>
              <w:t>Fi</w:t>
            </w:r>
            <w:proofErr w:type="spellStart"/>
            <w:r>
              <w:rPr>
                <w:rFonts w:ascii="Verdana" w:hAnsi="Verdana"/>
                <w:b/>
                <w:sz w:val="16"/>
                <w:lang w:val="de-CH"/>
              </w:rPr>
              <w:t>rma</w:t>
            </w:r>
            <w:proofErr w:type="spellEnd"/>
            <w:r>
              <w:rPr>
                <w:rFonts w:ascii="Verdana" w:hAnsi="Verdana"/>
                <w:b/>
                <w:sz w:val="16"/>
                <w:lang w:val="de-CH"/>
              </w:rPr>
              <w:t>, Sitz und Dauer</w:t>
            </w:r>
          </w:p>
          <w:p w14:paraId="541EB0F9" w14:textId="77777777" w:rsidR="0015477E" w:rsidRPr="00937FAC" w:rsidRDefault="0015477E" w:rsidP="00C3394A">
            <w:pPr>
              <w:keepNext/>
              <w:keepLines/>
              <w:widowControl w:val="0"/>
              <w:jc w:val="center"/>
              <w:rPr>
                <w:rFonts w:ascii="Verdana" w:hAnsi="Verdana"/>
                <w:b/>
                <w:sz w:val="16"/>
                <w:lang w:val="de-CH"/>
              </w:rPr>
            </w:pPr>
          </w:p>
        </w:tc>
        <w:tc>
          <w:tcPr>
            <w:tcW w:w="667" w:type="dxa"/>
          </w:tcPr>
          <w:p w14:paraId="387828AF" w14:textId="77777777" w:rsidR="00996222" w:rsidRDefault="00996222" w:rsidP="00C3394A">
            <w:pPr>
              <w:keepNext/>
              <w:keepLines/>
              <w:widowControl w:val="0"/>
              <w:jc w:val="center"/>
              <w:rPr>
                <w:rFonts w:ascii="Verdana" w:hAnsi="Verdana"/>
                <w:sz w:val="16"/>
                <w:lang w:val="de-CH"/>
              </w:rPr>
            </w:pPr>
          </w:p>
        </w:tc>
        <w:tc>
          <w:tcPr>
            <w:tcW w:w="5003" w:type="dxa"/>
          </w:tcPr>
          <w:p w14:paraId="74BD8E73" w14:textId="77777777" w:rsidR="00996222" w:rsidRPr="00937FAC" w:rsidRDefault="00996222" w:rsidP="00C3394A">
            <w:pPr>
              <w:keepNext/>
              <w:keepLines/>
              <w:widowControl w:val="0"/>
              <w:jc w:val="center"/>
              <w:rPr>
                <w:rFonts w:ascii="Verdana" w:hAnsi="Verdana"/>
                <w:b/>
                <w:sz w:val="16"/>
                <w:lang w:val="en-GB"/>
              </w:rPr>
            </w:pPr>
          </w:p>
          <w:p w14:paraId="270EB98E" w14:textId="77777777" w:rsidR="00996222" w:rsidRPr="00AC3A88" w:rsidRDefault="0015477E" w:rsidP="00C3394A">
            <w:pPr>
              <w:keepNext/>
              <w:keepLines/>
              <w:widowControl w:val="0"/>
              <w:jc w:val="center"/>
              <w:rPr>
                <w:rFonts w:ascii="Verdana" w:hAnsi="Verdana"/>
                <w:b/>
                <w:sz w:val="16"/>
                <w:lang w:val="en-US"/>
              </w:rPr>
            </w:pPr>
            <w:r w:rsidRPr="00AC3A88">
              <w:rPr>
                <w:rFonts w:ascii="Verdana" w:hAnsi="Verdana"/>
                <w:b/>
                <w:sz w:val="16"/>
                <w:lang w:val="en-US"/>
              </w:rPr>
              <w:t>Art. 1</w:t>
            </w:r>
          </w:p>
          <w:p w14:paraId="7AF14616" w14:textId="77777777" w:rsidR="00727946" w:rsidRPr="00937FAC" w:rsidRDefault="00727946" w:rsidP="003271E4">
            <w:pPr>
              <w:keepNext/>
              <w:keepLines/>
              <w:widowControl w:val="0"/>
              <w:jc w:val="center"/>
              <w:rPr>
                <w:rFonts w:ascii="Verdana" w:hAnsi="Verdana"/>
                <w:b/>
                <w:sz w:val="16"/>
                <w:lang w:val="en-GB"/>
              </w:rPr>
            </w:pPr>
            <w:r w:rsidRPr="00AC3A88">
              <w:rPr>
                <w:rFonts w:ascii="Verdana" w:hAnsi="Verdana"/>
                <w:b/>
                <w:sz w:val="16"/>
                <w:lang w:val="en-US"/>
              </w:rPr>
              <w:t>Name, registered office and duration</w:t>
            </w:r>
          </w:p>
        </w:tc>
      </w:tr>
      <w:tr w:rsidR="00996222" w:rsidRPr="00727946" w14:paraId="097BD8F2" w14:textId="77777777" w:rsidTr="00846CDA">
        <w:tc>
          <w:tcPr>
            <w:tcW w:w="4962" w:type="dxa"/>
          </w:tcPr>
          <w:p w14:paraId="3E7CB54B" w14:textId="758F50D8" w:rsidR="00C3394A" w:rsidRDefault="00C3394A" w:rsidP="0079105C">
            <w:pPr>
              <w:pStyle w:val="BodyText2"/>
              <w:spacing w:before="60"/>
              <w:rPr>
                <w:sz w:val="16"/>
              </w:rPr>
            </w:pPr>
            <w:r w:rsidRPr="00C3394A">
              <w:rPr>
                <w:sz w:val="16"/>
              </w:rPr>
              <w:t>Auf Grundlage der nachfolgenden Bestimmungen und derj</w:t>
            </w:r>
            <w:r>
              <w:rPr>
                <w:sz w:val="16"/>
              </w:rPr>
              <w:t xml:space="preserve">enigen des </w:t>
            </w:r>
            <w:r w:rsidR="00FA70F9">
              <w:rPr>
                <w:sz w:val="16"/>
              </w:rPr>
              <w:t>Schweizerischen Obligationenrechts (</w:t>
            </w:r>
            <w:r>
              <w:rPr>
                <w:sz w:val="16"/>
              </w:rPr>
              <w:t>OR</w:t>
            </w:r>
            <w:r w:rsidR="00FA70F9">
              <w:rPr>
                <w:sz w:val="16"/>
              </w:rPr>
              <w:t>)</w:t>
            </w:r>
            <w:r>
              <w:rPr>
                <w:sz w:val="16"/>
              </w:rPr>
              <w:t xml:space="preserve"> besteht, auf </w:t>
            </w:r>
            <w:r w:rsidRPr="009216F8">
              <w:rPr>
                <w:sz w:val="16"/>
              </w:rPr>
              <w:t xml:space="preserve">unbeschränkte Dauer, mit Sitz in </w:t>
            </w:r>
            <w:r w:rsidR="009216F8" w:rsidRPr="009216F8">
              <w:rPr>
                <w:sz w:val="16"/>
              </w:rPr>
              <w:t>Neuhausen am Rheinfall</w:t>
            </w:r>
            <w:r w:rsidRPr="009216F8">
              <w:rPr>
                <w:sz w:val="16"/>
              </w:rPr>
              <w:t>, eine</w:t>
            </w:r>
            <w:r w:rsidRPr="00C3394A">
              <w:rPr>
                <w:sz w:val="16"/>
              </w:rPr>
              <w:t xml:space="preserve"> Aktiengesellschaft </w:t>
            </w:r>
            <w:r w:rsidR="00FF4597" w:rsidRPr="00FF4597">
              <w:rPr>
                <w:sz w:val="16"/>
              </w:rPr>
              <w:t>(die "Gesellschaft")</w:t>
            </w:r>
            <w:r w:rsidR="00FF4597">
              <w:rPr>
                <w:sz w:val="16"/>
              </w:rPr>
              <w:t xml:space="preserve"> </w:t>
            </w:r>
            <w:r w:rsidRPr="00C3394A">
              <w:rPr>
                <w:sz w:val="16"/>
              </w:rPr>
              <w:t>unter der Firma</w:t>
            </w:r>
          </w:p>
          <w:p w14:paraId="5143C786" w14:textId="77777777" w:rsidR="00C3394A" w:rsidRDefault="00C3394A" w:rsidP="00C3394A">
            <w:pPr>
              <w:keepNext/>
              <w:keepLines/>
              <w:widowControl w:val="0"/>
              <w:jc w:val="both"/>
              <w:rPr>
                <w:rFonts w:ascii="Verdana" w:hAnsi="Verdana"/>
                <w:sz w:val="16"/>
                <w:lang w:val="de-CH"/>
              </w:rPr>
            </w:pPr>
          </w:p>
          <w:p w14:paraId="304A523F" w14:textId="7CD7AF79" w:rsidR="00C3394A" w:rsidRPr="00FF4597" w:rsidRDefault="00203E23" w:rsidP="00FF4597">
            <w:pPr>
              <w:keepNext/>
              <w:keepLines/>
              <w:widowControl w:val="0"/>
              <w:jc w:val="center"/>
              <w:rPr>
                <w:rFonts w:ascii="Verdana" w:hAnsi="Verdana"/>
                <w:sz w:val="16"/>
                <w:lang w:val="en-US"/>
              </w:rPr>
            </w:pPr>
            <w:r w:rsidRPr="00FF4597">
              <w:rPr>
                <w:rFonts w:ascii="Verdana" w:hAnsi="Verdana"/>
                <w:b/>
                <w:sz w:val="16"/>
                <w:lang w:val="en-US"/>
              </w:rPr>
              <w:t xml:space="preserve">SIG </w:t>
            </w:r>
            <w:r w:rsidR="009216F8" w:rsidRPr="00FF4597">
              <w:rPr>
                <w:rFonts w:ascii="Verdana" w:hAnsi="Verdana"/>
                <w:b/>
                <w:sz w:val="16"/>
                <w:lang w:val="en-US"/>
              </w:rPr>
              <w:t xml:space="preserve">Group </w:t>
            </w:r>
            <w:r w:rsidRPr="00FF4597">
              <w:rPr>
                <w:rFonts w:ascii="Verdana" w:hAnsi="Verdana"/>
                <w:b/>
                <w:sz w:val="16"/>
                <w:lang w:val="en-US"/>
              </w:rPr>
              <w:t>AG</w:t>
            </w:r>
            <w:r w:rsidR="00FF4597">
              <w:rPr>
                <w:rFonts w:ascii="Verdana" w:hAnsi="Verdana"/>
                <w:b/>
                <w:sz w:val="16"/>
                <w:lang w:val="en-US"/>
              </w:rPr>
              <w:t xml:space="preserve"> </w:t>
            </w:r>
            <w:r w:rsidR="00FF4597" w:rsidRPr="00FF4597">
              <w:rPr>
                <w:rFonts w:ascii="Verdana" w:hAnsi="Verdana"/>
                <w:b/>
                <w:sz w:val="16"/>
                <w:lang w:val="en-US"/>
              </w:rPr>
              <w:br/>
              <w:t>(SIG Group Ltd)</w:t>
            </w:r>
            <w:r w:rsidR="00FF4597" w:rsidRPr="00FF4597">
              <w:rPr>
                <w:rFonts w:ascii="Verdana" w:hAnsi="Verdana"/>
                <w:b/>
                <w:sz w:val="16"/>
                <w:lang w:val="en-US"/>
              </w:rPr>
              <w:br/>
              <w:t>(SIG Group SA)</w:t>
            </w:r>
          </w:p>
        </w:tc>
        <w:tc>
          <w:tcPr>
            <w:tcW w:w="667" w:type="dxa"/>
          </w:tcPr>
          <w:p w14:paraId="2E420A50" w14:textId="77777777" w:rsidR="00996222" w:rsidRPr="00FF4597" w:rsidRDefault="00996222" w:rsidP="00C3394A">
            <w:pPr>
              <w:keepNext/>
              <w:keepLines/>
              <w:widowControl w:val="0"/>
              <w:jc w:val="both"/>
              <w:rPr>
                <w:rFonts w:ascii="Verdana" w:hAnsi="Verdana"/>
                <w:sz w:val="16"/>
                <w:lang w:val="en-US"/>
              </w:rPr>
            </w:pPr>
          </w:p>
        </w:tc>
        <w:tc>
          <w:tcPr>
            <w:tcW w:w="5003" w:type="dxa"/>
          </w:tcPr>
          <w:p w14:paraId="36926738" w14:textId="77777777" w:rsidR="00996222" w:rsidRPr="00303C02" w:rsidRDefault="00727946" w:rsidP="0079105C">
            <w:pPr>
              <w:pStyle w:val="BodyText2"/>
              <w:spacing w:before="60"/>
              <w:rPr>
                <w:sz w:val="16"/>
                <w:lang w:val="en-US"/>
              </w:rPr>
            </w:pPr>
            <w:r w:rsidRPr="00303C02">
              <w:rPr>
                <w:sz w:val="16"/>
                <w:lang w:val="en-US"/>
              </w:rPr>
              <w:t>There exists, by the name of</w:t>
            </w:r>
          </w:p>
          <w:p w14:paraId="298EA61D" w14:textId="77777777" w:rsidR="00727946" w:rsidRPr="00A1421C" w:rsidRDefault="00727946" w:rsidP="00727946">
            <w:pPr>
              <w:keepNext/>
              <w:keepLines/>
              <w:widowControl w:val="0"/>
              <w:jc w:val="center"/>
              <w:rPr>
                <w:rFonts w:ascii="Verdana" w:hAnsi="Verdana"/>
                <w:b/>
                <w:sz w:val="16"/>
                <w:lang w:val="en-US"/>
              </w:rPr>
            </w:pPr>
          </w:p>
          <w:p w14:paraId="6087670C" w14:textId="1A088D3D" w:rsidR="00727946" w:rsidRDefault="00203E23" w:rsidP="00727946">
            <w:pPr>
              <w:keepNext/>
              <w:keepLines/>
              <w:widowControl w:val="0"/>
              <w:jc w:val="center"/>
              <w:rPr>
                <w:rFonts w:ascii="Verdana" w:hAnsi="Verdana"/>
                <w:b/>
                <w:sz w:val="16"/>
                <w:lang w:val="en-US"/>
              </w:rPr>
            </w:pPr>
            <w:r w:rsidRPr="00203E23">
              <w:rPr>
                <w:rFonts w:ascii="Verdana" w:hAnsi="Verdana"/>
                <w:b/>
                <w:sz w:val="16"/>
                <w:lang w:val="en-US"/>
              </w:rPr>
              <w:t xml:space="preserve">SIG </w:t>
            </w:r>
            <w:r w:rsidR="009216F8" w:rsidRPr="009216F8">
              <w:rPr>
                <w:rFonts w:ascii="Verdana" w:hAnsi="Verdana"/>
                <w:b/>
                <w:sz w:val="16"/>
                <w:lang w:val="en-US"/>
              </w:rPr>
              <w:t xml:space="preserve">Group </w:t>
            </w:r>
            <w:r w:rsidRPr="00203E23">
              <w:rPr>
                <w:rFonts w:ascii="Verdana" w:hAnsi="Verdana"/>
                <w:b/>
                <w:sz w:val="16"/>
                <w:lang w:val="en-US"/>
              </w:rPr>
              <w:t>AG</w:t>
            </w:r>
          </w:p>
          <w:p w14:paraId="71E2B62B" w14:textId="242FCA7E" w:rsidR="00FF4597" w:rsidRPr="00FF4597" w:rsidRDefault="00FF4597" w:rsidP="00727946">
            <w:pPr>
              <w:keepNext/>
              <w:keepLines/>
              <w:widowControl w:val="0"/>
              <w:jc w:val="center"/>
              <w:rPr>
                <w:rFonts w:ascii="Verdana" w:hAnsi="Verdana"/>
                <w:b/>
                <w:sz w:val="16"/>
                <w:lang w:val="en-US"/>
              </w:rPr>
            </w:pPr>
            <w:r w:rsidRPr="00FF4597">
              <w:rPr>
                <w:rFonts w:ascii="Verdana" w:hAnsi="Verdana"/>
                <w:b/>
                <w:sz w:val="16"/>
                <w:lang w:val="en-US"/>
              </w:rPr>
              <w:t>(SIG Group Ltd)</w:t>
            </w:r>
            <w:r w:rsidRPr="00FF4597">
              <w:rPr>
                <w:rFonts w:ascii="Verdana" w:hAnsi="Verdana"/>
                <w:b/>
                <w:sz w:val="16"/>
                <w:lang w:val="en-US"/>
              </w:rPr>
              <w:br/>
              <w:t xml:space="preserve">(SIG Group SA) </w:t>
            </w:r>
            <w:r w:rsidRPr="00FF4597" w:rsidDel="0065206D">
              <w:rPr>
                <w:rStyle w:val="FootnoteReference"/>
                <w:rFonts w:ascii="Verdana" w:hAnsi="Verdana"/>
                <w:b/>
                <w:sz w:val="16"/>
                <w:lang w:val="en-US"/>
              </w:rPr>
              <w:t xml:space="preserve"> </w:t>
            </w:r>
          </w:p>
          <w:p w14:paraId="38A76935" w14:textId="1E297C16" w:rsidR="00727946" w:rsidRPr="00727946" w:rsidRDefault="00727946" w:rsidP="00B844FF">
            <w:pPr>
              <w:pStyle w:val="BodyText2"/>
              <w:spacing w:beforeLines="60" w:before="144"/>
              <w:rPr>
                <w:sz w:val="16"/>
                <w:lang w:val="en-US"/>
              </w:rPr>
            </w:pPr>
            <w:r w:rsidRPr="00AC3A88">
              <w:rPr>
                <w:sz w:val="16"/>
                <w:lang w:val="en-US"/>
              </w:rPr>
              <w:t xml:space="preserve">a company </w:t>
            </w:r>
            <w:r w:rsidR="00B844FF">
              <w:rPr>
                <w:sz w:val="16"/>
                <w:lang w:val="en-US"/>
              </w:rPr>
              <w:t xml:space="preserve">limited by shares </w:t>
            </w:r>
            <w:r w:rsidRPr="00AC3A88">
              <w:rPr>
                <w:sz w:val="16"/>
                <w:lang w:val="en-US"/>
              </w:rPr>
              <w:t>under Swiss law in accordance with the following provisions and those of the Swiss Code of Obligations</w:t>
            </w:r>
            <w:r w:rsidR="00FA70F9" w:rsidRPr="00AC3A88">
              <w:rPr>
                <w:sz w:val="16"/>
                <w:lang w:val="en-US"/>
              </w:rPr>
              <w:t xml:space="preserve"> (CO)</w:t>
            </w:r>
            <w:r w:rsidRPr="00AC3A88">
              <w:rPr>
                <w:sz w:val="16"/>
                <w:lang w:val="en-US"/>
              </w:rPr>
              <w:t xml:space="preserve">. </w:t>
            </w:r>
            <w:r w:rsidRPr="00D95779">
              <w:rPr>
                <w:sz w:val="16"/>
                <w:lang w:val="en-US"/>
              </w:rPr>
              <w:t xml:space="preserve">The company has its registered office in </w:t>
            </w:r>
            <w:r w:rsidR="009216F8" w:rsidRPr="00D95779">
              <w:rPr>
                <w:sz w:val="16"/>
                <w:lang w:val="en-US"/>
              </w:rPr>
              <w:t>Neuhausen am Rheinfall</w:t>
            </w:r>
            <w:r w:rsidRPr="00D95779">
              <w:rPr>
                <w:sz w:val="16"/>
                <w:lang w:val="en-US"/>
              </w:rPr>
              <w:t>, Switzerland, and is of unlimited duration</w:t>
            </w:r>
            <w:r w:rsidR="006F7726" w:rsidRPr="00D95779">
              <w:rPr>
                <w:sz w:val="16"/>
                <w:lang w:val="en-US"/>
              </w:rPr>
              <w:t xml:space="preserve"> (the "Compan</w:t>
            </w:r>
            <w:r w:rsidR="0081798A">
              <w:rPr>
                <w:sz w:val="16"/>
                <w:lang w:val="en-US"/>
              </w:rPr>
              <w:t>y</w:t>
            </w:r>
            <w:r w:rsidR="006F7726" w:rsidRPr="00D95779">
              <w:rPr>
                <w:sz w:val="16"/>
                <w:lang w:val="en-US"/>
              </w:rPr>
              <w:t>")</w:t>
            </w:r>
            <w:r w:rsidRPr="00D95779">
              <w:rPr>
                <w:sz w:val="16"/>
                <w:lang w:val="en-US"/>
              </w:rPr>
              <w:t>.</w:t>
            </w:r>
          </w:p>
        </w:tc>
      </w:tr>
      <w:tr w:rsidR="00996222" w:rsidRPr="006F262B" w14:paraId="58EB017E" w14:textId="77777777" w:rsidTr="00846CDA">
        <w:tc>
          <w:tcPr>
            <w:tcW w:w="4962" w:type="dxa"/>
          </w:tcPr>
          <w:p w14:paraId="6F3E625A" w14:textId="77777777" w:rsidR="00996222" w:rsidRPr="00BC753A" w:rsidRDefault="00996222" w:rsidP="00151643">
            <w:pPr>
              <w:keepNext/>
              <w:keepLines/>
              <w:widowControl w:val="0"/>
              <w:jc w:val="center"/>
              <w:rPr>
                <w:rFonts w:ascii="Verdana" w:hAnsi="Verdana"/>
                <w:b/>
                <w:sz w:val="16"/>
                <w:lang w:val="en-US"/>
              </w:rPr>
            </w:pPr>
          </w:p>
          <w:p w14:paraId="474FF781" w14:textId="77777777" w:rsidR="00996222" w:rsidRPr="00BC753A" w:rsidRDefault="00996222" w:rsidP="00151643">
            <w:pPr>
              <w:keepNext/>
              <w:keepLines/>
              <w:widowControl w:val="0"/>
              <w:jc w:val="center"/>
              <w:rPr>
                <w:rFonts w:ascii="Verdana" w:hAnsi="Verdana"/>
                <w:b/>
                <w:sz w:val="16"/>
                <w:lang w:val="de-CH"/>
              </w:rPr>
            </w:pPr>
            <w:r w:rsidRPr="00BC753A">
              <w:rPr>
                <w:rFonts w:ascii="Verdana" w:hAnsi="Verdana"/>
                <w:b/>
                <w:sz w:val="16"/>
                <w:lang w:val="de-CH"/>
              </w:rPr>
              <w:t>Art. 2</w:t>
            </w:r>
          </w:p>
          <w:p w14:paraId="61D6DD6A" w14:textId="77777777" w:rsidR="009238F5" w:rsidRPr="00734971" w:rsidRDefault="009238F5" w:rsidP="00151643">
            <w:pPr>
              <w:keepNext/>
              <w:keepLines/>
              <w:widowControl w:val="0"/>
              <w:jc w:val="center"/>
              <w:rPr>
                <w:rFonts w:ascii="Verdana" w:hAnsi="Verdana"/>
                <w:b/>
                <w:sz w:val="16"/>
                <w:lang w:val="de-CH"/>
              </w:rPr>
            </w:pPr>
            <w:r w:rsidRPr="00734971">
              <w:rPr>
                <w:rFonts w:ascii="Verdana" w:hAnsi="Verdana"/>
                <w:b/>
                <w:sz w:val="16"/>
                <w:lang w:val="de-CH"/>
              </w:rPr>
              <w:t>Zweck</w:t>
            </w:r>
          </w:p>
          <w:p w14:paraId="0AF90547" w14:textId="77777777" w:rsidR="00996222" w:rsidRPr="00734971" w:rsidRDefault="00996222" w:rsidP="00151643">
            <w:pPr>
              <w:keepNext/>
              <w:keepLines/>
              <w:widowControl w:val="0"/>
              <w:jc w:val="center"/>
              <w:rPr>
                <w:rFonts w:ascii="Verdana" w:hAnsi="Verdana"/>
                <w:b/>
                <w:sz w:val="16"/>
                <w:lang w:val="de-CH"/>
              </w:rPr>
            </w:pPr>
          </w:p>
        </w:tc>
        <w:tc>
          <w:tcPr>
            <w:tcW w:w="667" w:type="dxa"/>
          </w:tcPr>
          <w:p w14:paraId="0E4C1923" w14:textId="77777777" w:rsidR="00996222" w:rsidRPr="006F262B" w:rsidRDefault="00996222" w:rsidP="00151643">
            <w:pPr>
              <w:keepNext/>
              <w:keepLines/>
              <w:widowControl w:val="0"/>
              <w:jc w:val="center"/>
              <w:rPr>
                <w:rFonts w:ascii="Verdana" w:hAnsi="Verdana"/>
                <w:sz w:val="16"/>
                <w:lang w:val="en-GB"/>
              </w:rPr>
            </w:pPr>
          </w:p>
        </w:tc>
        <w:tc>
          <w:tcPr>
            <w:tcW w:w="5003" w:type="dxa"/>
          </w:tcPr>
          <w:p w14:paraId="186D0ADD" w14:textId="77777777" w:rsidR="00996222" w:rsidRPr="00BC753A" w:rsidRDefault="00996222" w:rsidP="00151643">
            <w:pPr>
              <w:keepNext/>
              <w:keepLines/>
              <w:widowControl w:val="0"/>
              <w:jc w:val="center"/>
              <w:rPr>
                <w:rFonts w:ascii="Verdana" w:hAnsi="Verdana"/>
                <w:b/>
                <w:sz w:val="16"/>
                <w:lang w:val="en-GB"/>
              </w:rPr>
            </w:pPr>
          </w:p>
          <w:p w14:paraId="2A468E23" w14:textId="77777777" w:rsidR="00996222" w:rsidRPr="00AC3A88" w:rsidRDefault="00996222" w:rsidP="006303D2">
            <w:pPr>
              <w:keepNext/>
              <w:keepLines/>
              <w:widowControl w:val="0"/>
              <w:jc w:val="center"/>
              <w:rPr>
                <w:rFonts w:ascii="Verdana" w:hAnsi="Verdana"/>
                <w:b/>
                <w:sz w:val="16"/>
                <w:lang w:val="de-CH"/>
              </w:rPr>
            </w:pPr>
            <w:r w:rsidRPr="00AC3A88">
              <w:rPr>
                <w:rFonts w:ascii="Verdana" w:hAnsi="Verdana"/>
                <w:b/>
                <w:sz w:val="16"/>
                <w:lang w:val="de-CH"/>
              </w:rPr>
              <w:t>Art. 2</w:t>
            </w:r>
          </w:p>
          <w:p w14:paraId="6FC7A3FD" w14:textId="77777777" w:rsidR="00996222" w:rsidRPr="00734971" w:rsidRDefault="00F257C3" w:rsidP="006303D2">
            <w:pPr>
              <w:keepNext/>
              <w:keepLines/>
              <w:widowControl w:val="0"/>
              <w:jc w:val="center"/>
              <w:rPr>
                <w:rFonts w:ascii="Verdana" w:hAnsi="Verdana"/>
                <w:b/>
                <w:sz w:val="16"/>
                <w:lang w:val="en-GB"/>
              </w:rPr>
            </w:pPr>
            <w:r w:rsidRPr="00AC3A88">
              <w:rPr>
                <w:rFonts w:ascii="Verdana" w:hAnsi="Verdana"/>
                <w:b/>
                <w:sz w:val="16"/>
                <w:lang w:val="de-CH"/>
              </w:rPr>
              <w:t>Purpose</w:t>
            </w:r>
          </w:p>
        </w:tc>
      </w:tr>
      <w:tr w:rsidR="00A14F4C" w14:paraId="19F355CE" w14:textId="77777777" w:rsidTr="00846CDA">
        <w:trPr>
          <w:trHeight w:val="769"/>
        </w:trPr>
        <w:tc>
          <w:tcPr>
            <w:tcW w:w="4962" w:type="dxa"/>
          </w:tcPr>
          <w:p w14:paraId="3B7747A8" w14:textId="4307D104" w:rsidR="00A14F4C" w:rsidRPr="00A14F4C" w:rsidRDefault="00A14F4C" w:rsidP="00571C78">
            <w:pPr>
              <w:keepNext/>
              <w:keepLines/>
              <w:widowControl w:val="0"/>
              <w:numPr>
                <w:ilvl w:val="0"/>
                <w:numId w:val="3"/>
              </w:numPr>
              <w:spacing w:before="60"/>
              <w:ind w:left="425" w:hanging="425"/>
              <w:jc w:val="both"/>
              <w:rPr>
                <w:rFonts w:ascii="Verdana" w:hAnsi="Verdana"/>
                <w:sz w:val="16"/>
                <w:lang w:val="de-CH"/>
              </w:rPr>
            </w:pPr>
            <w:r w:rsidRPr="000C51DE">
              <w:rPr>
                <w:rFonts w:ascii="Verdana" w:hAnsi="Verdana"/>
                <w:sz w:val="16"/>
                <w:lang w:val="de-CH"/>
              </w:rPr>
              <w:t>Die</w:t>
            </w:r>
            <w:r w:rsidRPr="00176EE4">
              <w:rPr>
                <w:rFonts w:ascii="Verdana" w:hAnsi="Verdana"/>
                <w:sz w:val="16"/>
                <w:lang w:val="de-CH"/>
              </w:rPr>
              <w:t xml:space="preserve"> Gesellschaft bezweckt </w:t>
            </w:r>
            <w:r>
              <w:rPr>
                <w:rFonts w:ascii="Verdana" w:hAnsi="Verdana"/>
                <w:sz w:val="16"/>
                <w:lang w:val="de-CH"/>
              </w:rPr>
              <w:t>die direkte oder indirekte Beteiligung</w:t>
            </w:r>
            <w:r w:rsidRPr="00176EE4">
              <w:rPr>
                <w:rFonts w:ascii="Verdana" w:hAnsi="Verdana"/>
                <w:sz w:val="16"/>
                <w:lang w:val="de-CH"/>
              </w:rPr>
              <w:t xml:space="preserve"> an, Finanzierung</w:t>
            </w:r>
            <w:r>
              <w:rPr>
                <w:rFonts w:ascii="Verdana" w:hAnsi="Verdana"/>
                <w:sz w:val="16"/>
                <w:lang w:val="de-CH"/>
              </w:rPr>
              <w:t xml:space="preserve">, </w:t>
            </w:r>
            <w:r w:rsidRPr="000C51DE">
              <w:rPr>
                <w:rFonts w:ascii="Verdana" w:hAnsi="Verdana"/>
                <w:sz w:val="16"/>
                <w:lang w:val="de-CH"/>
              </w:rPr>
              <w:t>Kauf und Verkauf von in- und ausländischen Industrie-, Handels-, Dienstleistungs-, Immaterialgüter- und Finanzunternehmen oder andere Rechtseinheiten, insbesondere auf dem Gebiet der Verpackungs-, Verpackungsequipment-, und Dienstleistungsindustrie</w:t>
            </w:r>
            <w:r>
              <w:rPr>
                <w:rFonts w:ascii="Verdana" w:hAnsi="Verdana"/>
                <w:sz w:val="16"/>
                <w:lang w:val="de-CH"/>
              </w:rPr>
              <w:t xml:space="preserve">. </w:t>
            </w:r>
          </w:p>
        </w:tc>
        <w:tc>
          <w:tcPr>
            <w:tcW w:w="667" w:type="dxa"/>
            <w:vMerge w:val="restart"/>
          </w:tcPr>
          <w:p w14:paraId="6A04BD7D" w14:textId="77777777" w:rsidR="00A14F4C" w:rsidRPr="00734971" w:rsidRDefault="00A14F4C" w:rsidP="00571C78">
            <w:pPr>
              <w:pStyle w:val="BodyText2"/>
              <w:keepNext/>
              <w:keepLines/>
              <w:widowControl w:val="0"/>
              <w:spacing w:before="60"/>
              <w:ind w:left="425" w:hanging="425"/>
              <w:rPr>
                <w:sz w:val="16"/>
              </w:rPr>
            </w:pPr>
          </w:p>
        </w:tc>
        <w:tc>
          <w:tcPr>
            <w:tcW w:w="5003" w:type="dxa"/>
          </w:tcPr>
          <w:p w14:paraId="681F75B4" w14:textId="40A4F5FD" w:rsidR="00A14F4C" w:rsidRPr="00A14F4C" w:rsidRDefault="00A14F4C" w:rsidP="00C825D6">
            <w:pPr>
              <w:keepNext/>
              <w:keepLines/>
              <w:widowControl w:val="0"/>
              <w:numPr>
                <w:ilvl w:val="0"/>
                <w:numId w:val="31"/>
              </w:numPr>
              <w:spacing w:before="60"/>
              <w:ind w:left="425" w:hanging="425"/>
              <w:jc w:val="both"/>
              <w:rPr>
                <w:rFonts w:ascii="Verdana" w:hAnsi="Verdana"/>
                <w:sz w:val="16"/>
                <w:lang w:val="en-US"/>
              </w:rPr>
            </w:pPr>
            <w:r w:rsidRPr="00553776">
              <w:rPr>
                <w:rFonts w:ascii="Verdana" w:hAnsi="Verdana"/>
                <w:sz w:val="16"/>
                <w:lang w:val="en-US"/>
              </w:rPr>
              <w:t>Th</w:t>
            </w:r>
            <w:r w:rsidRPr="00D95779">
              <w:rPr>
                <w:rFonts w:ascii="Verdana" w:hAnsi="Verdana"/>
                <w:sz w:val="16"/>
                <w:lang w:val="en-US"/>
              </w:rPr>
              <w:t xml:space="preserve">e purpose of the Company is to directly or indirectly invest in, finance, acquire and sell domestic and foreign industrial, trade, service, intellectual property, and finance companies or other entities, </w:t>
            </w:r>
            <w:proofErr w:type="gramStart"/>
            <w:r w:rsidRPr="00D95779">
              <w:rPr>
                <w:rFonts w:ascii="Verdana" w:hAnsi="Verdana"/>
                <w:sz w:val="16"/>
                <w:lang w:val="en-US"/>
              </w:rPr>
              <w:t>in particular in</w:t>
            </w:r>
            <w:proofErr w:type="gramEnd"/>
            <w:r w:rsidRPr="00D95779">
              <w:rPr>
                <w:rFonts w:ascii="Verdana" w:hAnsi="Verdana"/>
                <w:sz w:val="16"/>
                <w:lang w:val="en-US"/>
              </w:rPr>
              <w:t xml:space="preserve"> the packaging and packaging equipment and service industries. </w:t>
            </w:r>
          </w:p>
        </w:tc>
      </w:tr>
      <w:tr w:rsidR="00A14F4C" w14:paraId="2CB20B7C" w14:textId="77777777" w:rsidTr="00846CDA">
        <w:trPr>
          <w:trHeight w:val="769"/>
        </w:trPr>
        <w:tc>
          <w:tcPr>
            <w:tcW w:w="4962" w:type="dxa"/>
          </w:tcPr>
          <w:p w14:paraId="2616BEDC" w14:textId="1DEA53EE" w:rsidR="00A14F4C" w:rsidRPr="000C51DE" w:rsidRDefault="00A14F4C" w:rsidP="00571C78">
            <w:pPr>
              <w:keepNext/>
              <w:keepLines/>
              <w:widowControl w:val="0"/>
              <w:numPr>
                <w:ilvl w:val="0"/>
                <w:numId w:val="3"/>
              </w:numPr>
              <w:spacing w:before="60"/>
              <w:ind w:left="425" w:hanging="425"/>
              <w:jc w:val="both"/>
              <w:rPr>
                <w:rFonts w:ascii="Verdana" w:hAnsi="Verdana"/>
                <w:sz w:val="16"/>
                <w:lang w:val="de-CH"/>
              </w:rPr>
            </w:pPr>
            <w:r w:rsidRPr="00734971">
              <w:rPr>
                <w:rFonts w:ascii="Verdana" w:hAnsi="Verdana"/>
                <w:sz w:val="16"/>
                <w:lang w:val="de-CH"/>
              </w:rPr>
              <w:t>Die Gesellschaft kann Zweigniederlassungen und Tochtergesellschaften</w:t>
            </w:r>
            <w:r>
              <w:rPr>
                <w:rFonts w:ascii="Verdana" w:hAnsi="Verdana"/>
                <w:sz w:val="16"/>
                <w:lang w:val="de-CH"/>
              </w:rPr>
              <w:t xml:space="preserve"> und andere Rechtseinheiten</w:t>
            </w:r>
            <w:r w:rsidRPr="00734971">
              <w:rPr>
                <w:rFonts w:ascii="Verdana" w:hAnsi="Verdana"/>
                <w:sz w:val="16"/>
                <w:lang w:val="de-CH"/>
              </w:rPr>
              <w:t xml:space="preserve"> im In- und Ausland errichten</w:t>
            </w:r>
            <w:r>
              <w:rPr>
                <w:rFonts w:ascii="Verdana" w:hAnsi="Verdana"/>
                <w:sz w:val="16"/>
                <w:lang w:val="de-CH"/>
              </w:rPr>
              <w:t xml:space="preserve"> oder in solche investieren</w:t>
            </w:r>
            <w:r w:rsidRPr="00734971">
              <w:rPr>
                <w:rFonts w:ascii="Verdana" w:hAnsi="Verdana"/>
                <w:sz w:val="16"/>
                <w:lang w:val="de-CH"/>
              </w:rPr>
              <w:t xml:space="preserve"> und</w:t>
            </w:r>
            <w:r>
              <w:rPr>
                <w:rFonts w:ascii="Verdana" w:hAnsi="Verdana"/>
                <w:sz w:val="16"/>
                <w:lang w:val="de-CH"/>
              </w:rPr>
              <w:t xml:space="preserve"> </w:t>
            </w:r>
            <w:r w:rsidRPr="00734971">
              <w:rPr>
                <w:rFonts w:ascii="Verdana" w:hAnsi="Verdana"/>
                <w:sz w:val="16"/>
                <w:lang w:val="de-CH"/>
              </w:rPr>
              <w:t>alle Geschäfte tätigen, die direkt oder indirekt mit ihrem Zweck in Zusammenhang s</w:t>
            </w:r>
            <w:r>
              <w:rPr>
                <w:rFonts w:ascii="Verdana" w:hAnsi="Verdana"/>
                <w:sz w:val="16"/>
                <w:lang w:val="de-CH"/>
              </w:rPr>
              <w:t xml:space="preserve">tehen. Die Gesellschaft kann </w:t>
            </w:r>
            <w:r w:rsidRPr="00734971">
              <w:rPr>
                <w:rFonts w:ascii="Verdana" w:hAnsi="Verdana"/>
                <w:sz w:val="16"/>
                <w:lang w:val="de-CH"/>
              </w:rPr>
              <w:t xml:space="preserve">Grundeigentum </w:t>
            </w:r>
            <w:r>
              <w:rPr>
                <w:rFonts w:ascii="Verdana" w:hAnsi="Verdana"/>
                <w:sz w:val="16"/>
                <w:lang w:val="de-CH"/>
              </w:rPr>
              <w:t xml:space="preserve">und andere materielle oder immaterielle Vermögenswerte </w:t>
            </w:r>
            <w:r w:rsidRPr="00734971">
              <w:rPr>
                <w:rFonts w:ascii="Verdana" w:hAnsi="Verdana"/>
                <w:sz w:val="16"/>
                <w:lang w:val="de-CH"/>
              </w:rPr>
              <w:t>erwerben, belasten, veräussern und verwalten. Sie kann auch Finanzierungen für eigene oder fremde Rechnung vornehmen sowie für</w:t>
            </w:r>
            <w:r>
              <w:rPr>
                <w:rFonts w:ascii="Verdana" w:hAnsi="Verdana"/>
                <w:sz w:val="16"/>
                <w:lang w:val="de-CH"/>
              </w:rPr>
              <w:t xml:space="preserve"> die Verbindlichkeiten von</w:t>
            </w:r>
            <w:r w:rsidRPr="00734971">
              <w:rPr>
                <w:rFonts w:ascii="Verdana" w:hAnsi="Verdana"/>
                <w:sz w:val="16"/>
                <w:lang w:val="de-CH"/>
              </w:rPr>
              <w:t xml:space="preserve"> Tochtergesellschaften</w:t>
            </w:r>
            <w:r>
              <w:rPr>
                <w:rFonts w:ascii="Verdana" w:hAnsi="Verdana"/>
                <w:sz w:val="16"/>
                <w:lang w:val="de-CH"/>
              </w:rPr>
              <w:t>, anderen Gesellschaften</w:t>
            </w:r>
            <w:r w:rsidRPr="00734971">
              <w:rPr>
                <w:rFonts w:ascii="Verdana" w:hAnsi="Verdana"/>
                <w:sz w:val="16"/>
                <w:lang w:val="de-CH"/>
              </w:rPr>
              <w:t xml:space="preserve"> und Dritte</w:t>
            </w:r>
            <w:r>
              <w:rPr>
                <w:rFonts w:ascii="Verdana" w:hAnsi="Verdana"/>
                <w:sz w:val="16"/>
                <w:lang w:val="de-CH"/>
              </w:rPr>
              <w:t>n</w:t>
            </w:r>
            <w:r w:rsidRPr="00734971">
              <w:rPr>
                <w:rFonts w:ascii="Verdana" w:hAnsi="Verdana"/>
                <w:sz w:val="16"/>
                <w:lang w:val="de-CH"/>
              </w:rPr>
              <w:t xml:space="preserve"> Garantien und Bürgschaften eingehen</w:t>
            </w:r>
            <w:r>
              <w:rPr>
                <w:rFonts w:ascii="Verdana" w:hAnsi="Verdana"/>
                <w:sz w:val="16"/>
                <w:lang w:val="de-CH"/>
              </w:rPr>
              <w:t xml:space="preserve"> und Sicherheiten stellen</w:t>
            </w:r>
            <w:r w:rsidRPr="00734971">
              <w:rPr>
                <w:rFonts w:ascii="Verdana" w:hAnsi="Verdana"/>
                <w:sz w:val="16"/>
                <w:lang w:val="de-CH"/>
              </w:rPr>
              <w:t>.</w:t>
            </w:r>
          </w:p>
        </w:tc>
        <w:tc>
          <w:tcPr>
            <w:tcW w:w="667" w:type="dxa"/>
            <w:vMerge/>
          </w:tcPr>
          <w:p w14:paraId="51A4BE0F" w14:textId="77777777" w:rsidR="00A14F4C" w:rsidRPr="00734971" w:rsidRDefault="00A14F4C" w:rsidP="00571C78">
            <w:pPr>
              <w:pStyle w:val="BodyText2"/>
              <w:keepNext/>
              <w:keepLines/>
              <w:widowControl w:val="0"/>
              <w:spacing w:before="60"/>
              <w:ind w:left="425" w:hanging="425"/>
              <w:rPr>
                <w:sz w:val="16"/>
              </w:rPr>
            </w:pPr>
          </w:p>
        </w:tc>
        <w:tc>
          <w:tcPr>
            <w:tcW w:w="5003" w:type="dxa"/>
          </w:tcPr>
          <w:p w14:paraId="381C31DF" w14:textId="08D7A17C" w:rsidR="00A14F4C" w:rsidRPr="00553776" w:rsidRDefault="00A14F4C" w:rsidP="00C825D6">
            <w:pPr>
              <w:keepNext/>
              <w:keepLines/>
              <w:widowControl w:val="0"/>
              <w:numPr>
                <w:ilvl w:val="0"/>
                <w:numId w:val="31"/>
              </w:numPr>
              <w:spacing w:before="60"/>
              <w:ind w:left="425" w:hanging="425"/>
              <w:jc w:val="both"/>
              <w:rPr>
                <w:rFonts w:ascii="Verdana" w:hAnsi="Verdana"/>
                <w:sz w:val="16"/>
                <w:lang w:val="en-US"/>
              </w:rPr>
            </w:pPr>
            <w:r w:rsidRPr="00D95779">
              <w:rPr>
                <w:rFonts w:ascii="Verdana" w:hAnsi="Verdana"/>
                <w:sz w:val="16"/>
                <w:lang w:val="en-US"/>
              </w:rPr>
              <w:t>The Company may establish or invest in branches and subsidiaries and other entities in Switzerland and abroad and conduct all business that is directly or indirectly related to its purpose. The Company may acquire, encumber, sell and manage real estate and other tangible and intangible assets. It may also provide financing for its own or a third party's account, as well as provide guarantees and suretyships and provide collateral for the liabilities of subsidiaries, other entities, and third parties.</w:t>
            </w:r>
          </w:p>
        </w:tc>
      </w:tr>
      <w:tr w:rsidR="00013D7C" w:rsidRPr="00B137B8" w14:paraId="006019CA" w14:textId="77777777" w:rsidTr="00846CDA">
        <w:trPr>
          <w:trHeight w:val="769"/>
        </w:trPr>
        <w:tc>
          <w:tcPr>
            <w:tcW w:w="4962" w:type="dxa"/>
          </w:tcPr>
          <w:p w14:paraId="59D4CE9A" w14:textId="71C8D73A" w:rsidR="00013D7C" w:rsidRPr="00EE2442" w:rsidRDefault="00EE2442" w:rsidP="005D382D">
            <w:pPr>
              <w:keepNext/>
              <w:keepLines/>
              <w:widowControl w:val="0"/>
              <w:numPr>
                <w:ilvl w:val="0"/>
                <w:numId w:val="3"/>
              </w:numPr>
              <w:spacing w:before="60"/>
              <w:ind w:left="425" w:hanging="425"/>
              <w:jc w:val="both"/>
              <w:rPr>
                <w:rFonts w:ascii="Verdana" w:hAnsi="Verdana"/>
                <w:sz w:val="16"/>
                <w:lang w:val="de-CH"/>
              </w:rPr>
            </w:pPr>
            <w:r w:rsidRPr="005D382D">
              <w:rPr>
                <w:rFonts w:ascii="Verdana" w:hAnsi="Verdana"/>
                <w:sz w:val="16"/>
                <w:lang w:val="de-CH"/>
              </w:rPr>
              <w:t xml:space="preserve">Die Gesellschaft strebt bei der Verfolgung ihres Zwecks durch ihre Geschäftstätigkeit </w:t>
            </w:r>
            <w:r w:rsidR="0026443F" w:rsidRPr="005D382D">
              <w:rPr>
                <w:rFonts w:ascii="Verdana" w:hAnsi="Verdana"/>
                <w:sz w:val="16"/>
                <w:lang w:val="de-CH"/>
              </w:rPr>
              <w:t>die Schaffung von langfristigem</w:t>
            </w:r>
            <w:r w:rsidR="0026443F">
              <w:rPr>
                <w:rFonts w:ascii="Verdana" w:hAnsi="Verdana"/>
                <w:sz w:val="16"/>
                <w:lang w:val="de-CH"/>
              </w:rPr>
              <w:t xml:space="preserve">, </w:t>
            </w:r>
            <w:r w:rsidR="0026443F" w:rsidRPr="005D382D">
              <w:rPr>
                <w:rFonts w:ascii="Verdana" w:hAnsi="Verdana"/>
                <w:sz w:val="16"/>
                <w:lang w:val="de-CH"/>
              </w:rPr>
              <w:t>nachhaltigem</w:t>
            </w:r>
            <w:r w:rsidR="0026443F">
              <w:rPr>
                <w:rFonts w:ascii="Verdana" w:hAnsi="Verdana"/>
                <w:sz w:val="16"/>
                <w:lang w:val="de-CH"/>
              </w:rPr>
              <w:t xml:space="preserve"> </w:t>
            </w:r>
            <w:r w:rsidR="0026443F" w:rsidRPr="005D382D">
              <w:rPr>
                <w:rFonts w:ascii="Verdana" w:hAnsi="Verdana"/>
                <w:sz w:val="16"/>
                <w:lang w:val="de-CH"/>
              </w:rPr>
              <w:t xml:space="preserve">Wert </w:t>
            </w:r>
            <w:r w:rsidR="0026443F">
              <w:rPr>
                <w:rFonts w:ascii="Verdana" w:hAnsi="Verdana"/>
                <w:sz w:val="16"/>
                <w:lang w:val="de-CH"/>
              </w:rPr>
              <w:t>sowie</w:t>
            </w:r>
            <w:r w:rsidR="0026443F" w:rsidRPr="005D382D">
              <w:rPr>
                <w:rFonts w:ascii="Verdana" w:hAnsi="Verdana"/>
                <w:sz w:val="16"/>
                <w:lang w:val="de-CH"/>
              </w:rPr>
              <w:t xml:space="preserve"> </w:t>
            </w:r>
            <w:r w:rsidRPr="005D382D">
              <w:rPr>
                <w:rFonts w:ascii="Verdana" w:hAnsi="Verdana"/>
                <w:sz w:val="16"/>
                <w:lang w:val="de-CH"/>
              </w:rPr>
              <w:t>eine positive Wirkung auf die Gesellschaft und die Umwelt an.</w:t>
            </w:r>
            <w:r w:rsidR="003942EF" w:rsidRPr="005D382D">
              <w:rPr>
                <w:rFonts w:ascii="Verdana" w:hAnsi="Verdana"/>
                <w:sz w:val="16"/>
                <w:lang w:val="de-CH"/>
              </w:rPr>
              <w:t xml:space="preserve"> </w:t>
            </w:r>
          </w:p>
        </w:tc>
        <w:tc>
          <w:tcPr>
            <w:tcW w:w="667" w:type="dxa"/>
          </w:tcPr>
          <w:p w14:paraId="5406CCC7" w14:textId="77777777" w:rsidR="00013D7C" w:rsidRPr="00734971" w:rsidRDefault="00013D7C" w:rsidP="00571C78">
            <w:pPr>
              <w:pStyle w:val="BodyText2"/>
              <w:keepNext/>
              <w:keepLines/>
              <w:widowControl w:val="0"/>
              <w:spacing w:before="60"/>
              <w:ind w:left="425" w:hanging="425"/>
              <w:rPr>
                <w:sz w:val="16"/>
              </w:rPr>
            </w:pPr>
          </w:p>
        </w:tc>
        <w:tc>
          <w:tcPr>
            <w:tcW w:w="5003" w:type="dxa"/>
          </w:tcPr>
          <w:p w14:paraId="23EAC3A3" w14:textId="50308563" w:rsidR="00013D7C" w:rsidRPr="00B137B8" w:rsidRDefault="00B137B8" w:rsidP="00C825D6">
            <w:pPr>
              <w:keepNext/>
              <w:keepLines/>
              <w:widowControl w:val="0"/>
              <w:numPr>
                <w:ilvl w:val="0"/>
                <w:numId w:val="31"/>
              </w:numPr>
              <w:spacing w:before="60"/>
              <w:ind w:left="425" w:hanging="425"/>
              <w:jc w:val="both"/>
              <w:rPr>
                <w:rFonts w:ascii="Verdana" w:hAnsi="Verdana"/>
                <w:sz w:val="16"/>
                <w:lang w:val="en-US"/>
              </w:rPr>
            </w:pPr>
            <w:r w:rsidRPr="00B137B8">
              <w:rPr>
                <w:rFonts w:ascii="Verdana" w:hAnsi="Verdana"/>
                <w:sz w:val="16"/>
                <w:lang w:val="en-US"/>
              </w:rPr>
              <w:t>The Company, by pursuing its purpose</w:t>
            </w:r>
            <w:r>
              <w:rPr>
                <w:rFonts w:ascii="Verdana" w:hAnsi="Verdana"/>
                <w:sz w:val="16"/>
                <w:lang w:val="en-US"/>
              </w:rPr>
              <w:t xml:space="preserve">, shall, through its business and operations, strive for </w:t>
            </w:r>
            <w:r w:rsidR="0026443F" w:rsidRPr="00C825D6">
              <w:rPr>
                <w:rFonts w:ascii="Verdana" w:hAnsi="Verdana"/>
                <w:sz w:val="16"/>
                <w:lang w:val="en-US"/>
              </w:rPr>
              <w:t>long-term, sustainable value creation</w:t>
            </w:r>
            <w:r w:rsidR="0026443F">
              <w:rPr>
                <w:rFonts w:ascii="Verdana" w:hAnsi="Verdana"/>
                <w:sz w:val="16"/>
                <w:lang w:val="en-US"/>
              </w:rPr>
              <w:t xml:space="preserve"> and </w:t>
            </w:r>
            <w:r>
              <w:rPr>
                <w:rFonts w:ascii="Verdana" w:hAnsi="Verdana"/>
                <w:sz w:val="16"/>
                <w:lang w:val="en-US"/>
              </w:rPr>
              <w:t>a positive impact on society and the environment.</w:t>
            </w:r>
            <w:r w:rsidR="00C825D6">
              <w:t xml:space="preserve"> </w:t>
            </w:r>
          </w:p>
        </w:tc>
      </w:tr>
    </w:tbl>
    <w:p w14:paraId="272F8A64" w14:textId="77777777" w:rsidR="002F245F" w:rsidRPr="00EE2442" w:rsidRDefault="002F245F" w:rsidP="00EE2442">
      <w:pPr>
        <w:pStyle w:val="Header"/>
        <w:tabs>
          <w:tab w:val="clear" w:pos="4153"/>
          <w:tab w:val="clear" w:pos="8306"/>
        </w:tabs>
        <w:rPr>
          <w:lang w:val="en-US"/>
        </w:rPr>
        <w:sectPr w:rsidR="002F245F" w:rsidRPr="00EE2442" w:rsidSect="004133D4">
          <w:headerReference w:type="default" r:id="rId12"/>
          <w:headerReference w:type="first" r:id="rId13"/>
          <w:pgSz w:w="11906" w:h="16838" w:code="9"/>
          <w:pgMar w:top="1134" w:right="1134" w:bottom="992" w:left="2098" w:header="851" w:footer="720" w:gutter="0"/>
          <w:paperSrc w:first="259" w:other="259"/>
          <w:cols w:space="720"/>
          <w:titlePg/>
          <w:docGrid w:linePitch="272"/>
        </w:sectPr>
      </w:pPr>
    </w:p>
    <w:tbl>
      <w:tblPr>
        <w:tblW w:w="10632" w:type="dxa"/>
        <w:tblInd w:w="-1168" w:type="dxa"/>
        <w:tblLayout w:type="fixed"/>
        <w:tblLook w:val="0000" w:firstRow="0" w:lastRow="0" w:firstColumn="0" w:lastColumn="0" w:noHBand="0" w:noVBand="0"/>
      </w:tblPr>
      <w:tblGrid>
        <w:gridCol w:w="4962"/>
        <w:gridCol w:w="596"/>
        <w:gridCol w:w="5074"/>
      </w:tblGrid>
      <w:tr w:rsidR="00FB7456" w14:paraId="6A8CC92C" w14:textId="77777777" w:rsidTr="00846CDA">
        <w:tc>
          <w:tcPr>
            <w:tcW w:w="4962" w:type="dxa"/>
          </w:tcPr>
          <w:p w14:paraId="65DCEDE6" w14:textId="77777777" w:rsidR="00FB7456" w:rsidRPr="00B137B8" w:rsidRDefault="00FB7456" w:rsidP="002F245F">
            <w:pPr>
              <w:spacing w:before="60"/>
              <w:jc w:val="center"/>
              <w:rPr>
                <w:rFonts w:ascii="Verdana" w:hAnsi="Verdana"/>
                <w:b/>
                <w:sz w:val="16"/>
                <w:lang w:val="en-US"/>
              </w:rPr>
            </w:pPr>
          </w:p>
          <w:p w14:paraId="679F8D02" w14:textId="77777777" w:rsidR="00FB7456" w:rsidRPr="00FB7456" w:rsidRDefault="00FB7456" w:rsidP="002F245F">
            <w:pPr>
              <w:jc w:val="center"/>
              <w:rPr>
                <w:rFonts w:ascii="Verdana" w:hAnsi="Verdana"/>
                <w:b/>
                <w:sz w:val="16"/>
                <w:lang w:val="de-CH"/>
              </w:rPr>
            </w:pPr>
            <w:r w:rsidRPr="00FB7456">
              <w:rPr>
                <w:rFonts w:ascii="Verdana" w:hAnsi="Verdana"/>
                <w:b/>
                <w:sz w:val="16"/>
                <w:lang w:val="de-CH"/>
              </w:rPr>
              <w:t xml:space="preserve">2. </w:t>
            </w:r>
            <w:r w:rsidR="00334E7D">
              <w:rPr>
                <w:rFonts w:ascii="Verdana" w:hAnsi="Verdana"/>
                <w:b/>
                <w:sz w:val="16"/>
                <w:lang w:val="de-CH"/>
              </w:rPr>
              <w:t>Ak</w:t>
            </w:r>
            <w:r w:rsidR="0043407F">
              <w:rPr>
                <w:rFonts w:ascii="Verdana" w:hAnsi="Verdana"/>
                <w:b/>
                <w:sz w:val="16"/>
                <w:lang w:val="de-CH"/>
              </w:rPr>
              <w:t>tienkapital und Aktien</w:t>
            </w:r>
          </w:p>
          <w:p w14:paraId="6EF17A9D" w14:textId="77777777" w:rsidR="00FB7456" w:rsidRPr="00FB7456" w:rsidRDefault="00FB7456" w:rsidP="002F245F">
            <w:pPr>
              <w:spacing w:before="60"/>
              <w:jc w:val="center"/>
              <w:rPr>
                <w:rFonts w:ascii="Verdana" w:hAnsi="Verdana"/>
                <w:b/>
                <w:sz w:val="16"/>
                <w:lang w:val="de-CH"/>
              </w:rPr>
            </w:pPr>
          </w:p>
        </w:tc>
        <w:tc>
          <w:tcPr>
            <w:tcW w:w="596" w:type="dxa"/>
          </w:tcPr>
          <w:p w14:paraId="40F9C0A9" w14:textId="77777777" w:rsidR="00FB7456" w:rsidRPr="00FB7456" w:rsidRDefault="00FB7456" w:rsidP="002F245F">
            <w:pPr>
              <w:pStyle w:val="BodyText2"/>
              <w:jc w:val="center"/>
              <w:rPr>
                <w:b/>
                <w:sz w:val="16"/>
              </w:rPr>
            </w:pPr>
          </w:p>
        </w:tc>
        <w:tc>
          <w:tcPr>
            <w:tcW w:w="5074" w:type="dxa"/>
          </w:tcPr>
          <w:p w14:paraId="4860F553" w14:textId="77777777" w:rsidR="00FB7456" w:rsidRPr="00AC3A88" w:rsidRDefault="00FB7456" w:rsidP="002F245F">
            <w:pPr>
              <w:spacing w:before="60"/>
              <w:jc w:val="center"/>
              <w:rPr>
                <w:rFonts w:ascii="Verdana" w:hAnsi="Verdana"/>
                <w:b/>
                <w:sz w:val="16"/>
                <w:lang w:val="en-US"/>
              </w:rPr>
            </w:pPr>
          </w:p>
          <w:p w14:paraId="4AB05A80" w14:textId="77777777" w:rsidR="00FB7456" w:rsidRPr="00AC3A88" w:rsidRDefault="00FB7456" w:rsidP="002F245F">
            <w:pPr>
              <w:jc w:val="center"/>
              <w:rPr>
                <w:rFonts w:ascii="Verdana" w:hAnsi="Verdana"/>
                <w:b/>
                <w:sz w:val="16"/>
                <w:lang w:val="en-US"/>
              </w:rPr>
            </w:pPr>
            <w:r w:rsidRPr="00AC3A88">
              <w:rPr>
                <w:rFonts w:ascii="Verdana" w:hAnsi="Verdana"/>
                <w:b/>
                <w:sz w:val="16"/>
                <w:lang w:val="en-US"/>
              </w:rPr>
              <w:t xml:space="preserve">2. </w:t>
            </w:r>
            <w:r w:rsidR="0043407F" w:rsidRPr="00AC3A88">
              <w:rPr>
                <w:rFonts w:ascii="Verdana" w:hAnsi="Verdana"/>
                <w:b/>
                <w:sz w:val="16"/>
                <w:lang w:val="en-US"/>
              </w:rPr>
              <w:t>Share capital and shares</w:t>
            </w:r>
          </w:p>
        </w:tc>
      </w:tr>
      <w:tr w:rsidR="00511AD7" w:rsidRPr="00AC3A88" w14:paraId="21761F4A" w14:textId="77777777" w:rsidTr="00846CDA">
        <w:tc>
          <w:tcPr>
            <w:tcW w:w="4962" w:type="dxa"/>
          </w:tcPr>
          <w:p w14:paraId="360E93AC" w14:textId="77777777" w:rsidR="00511AD7" w:rsidRPr="00D26026" w:rsidRDefault="00511AD7" w:rsidP="002F245F">
            <w:pPr>
              <w:jc w:val="center"/>
              <w:rPr>
                <w:rFonts w:ascii="Verdana" w:hAnsi="Verdana"/>
                <w:b/>
                <w:sz w:val="16"/>
                <w:lang w:val="de-CH"/>
              </w:rPr>
            </w:pPr>
          </w:p>
          <w:p w14:paraId="6843FC88" w14:textId="77777777" w:rsidR="00511AD7" w:rsidRPr="00D26026" w:rsidRDefault="00511AD7" w:rsidP="002F245F">
            <w:pPr>
              <w:jc w:val="center"/>
              <w:rPr>
                <w:rFonts w:ascii="Verdana" w:hAnsi="Verdana"/>
                <w:b/>
                <w:sz w:val="16"/>
                <w:lang w:val="de-CH"/>
              </w:rPr>
            </w:pPr>
            <w:r w:rsidRPr="00D26026">
              <w:rPr>
                <w:rFonts w:ascii="Verdana" w:hAnsi="Verdana"/>
                <w:b/>
                <w:sz w:val="16"/>
                <w:lang w:val="de-CH"/>
              </w:rPr>
              <w:t>Art. 3</w:t>
            </w:r>
          </w:p>
          <w:p w14:paraId="133BDF73" w14:textId="77777777" w:rsidR="00511AD7" w:rsidRPr="00D26026" w:rsidRDefault="009B575C" w:rsidP="002F245F">
            <w:pPr>
              <w:spacing w:before="60"/>
              <w:jc w:val="center"/>
              <w:rPr>
                <w:rFonts w:ascii="Verdana" w:hAnsi="Verdana"/>
                <w:b/>
                <w:sz w:val="16"/>
                <w:lang w:val="de-CH"/>
              </w:rPr>
            </w:pPr>
            <w:r>
              <w:rPr>
                <w:rFonts w:ascii="Verdana" w:hAnsi="Verdana"/>
                <w:b/>
                <w:sz w:val="16"/>
                <w:lang w:val="de-CH"/>
              </w:rPr>
              <w:t xml:space="preserve">Ordentliches </w:t>
            </w:r>
            <w:r w:rsidR="00C7325A" w:rsidRPr="00D26026">
              <w:rPr>
                <w:rFonts w:ascii="Verdana" w:hAnsi="Verdana"/>
                <w:b/>
                <w:sz w:val="16"/>
                <w:lang w:val="de-CH"/>
              </w:rPr>
              <w:t>Aktien</w:t>
            </w:r>
            <w:r w:rsidR="00FB7456" w:rsidRPr="00D26026">
              <w:rPr>
                <w:rFonts w:ascii="Verdana" w:hAnsi="Verdana"/>
                <w:b/>
                <w:sz w:val="16"/>
                <w:lang w:val="de-CH"/>
              </w:rPr>
              <w:t>kapital</w:t>
            </w:r>
          </w:p>
        </w:tc>
        <w:tc>
          <w:tcPr>
            <w:tcW w:w="596" w:type="dxa"/>
          </w:tcPr>
          <w:p w14:paraId="7AF803C8" w14:textId="77777777" w:rsidR="00511AD7" w:rsidRPr="00D26026" w:rsidRDefault="00511AD7" w:rsidP="002F245F">
            <w:pPr>
              <w:jc w:val="center"/>
              <w:rPr>
                <w:rFonts w:ascii="Verdana" w:hAnsi="Verdana"/>
                <w:sz w:val="16"/>
                <w:lang w:val="de-CH"/>
              </w:rPr>
            </w:pPr>
          </w:p>
        </w:tc>
        <w:tc>
          <w:tcPr>
            <w:tcW w:w="5074" w:type="dxa"/>
          </w:tcPr>
          <w:p w14:paraId="40378953" w14:textId="181330BF" w:rsidR="00511AD7" w:rsidRPr="00AC3A88" w:rsidRDefault="00AC3A88" w:rsidP="006303D2">
            <w:pPr>
              <w:jc w:val="center"/>
              <w:rPr>
                <w:rFonts w:ascii="Verdana" w:hAnsi="Verdana"/>
                <w:b/>
                <w:sz w:val="16"/>
                <w:lang w:val="de-CH"/>
              </w:rPr>
            </w:pPr>
            <w:r w:rsidRPr="00AC3A88">
              <w:rPr>
                <w:rFonts w:ascii="Verdana" w:hAnsi="Verdana"/>
                <w:b/>
                <w:sz w:val="16"/>
                <w:lang w:val="de-CH"/>
              </w:rPr>
              <w:br/>
            </w:r>
            <w:r w:rsidR="00511AD7" w:rsidRPr="00AC3A88">
              <w:rPr>
                <w:rFonts w:ascii="Verdana" w:hAnsi="Verdana"/>
                <w:b/>
                <w:sz w:val="16"/>
                <w:lang w:val="de-CH"/>
              </w:rPr>
              <w:t>Art. 3</w:t>
            </w:r>
          </w:p>
          <w:p w14:paraId="2D9C0E52" w14:textId="77777777" w:rsidR="00511AD7" w:rsidRPr="00AC3A88" w:rsidRDefault="009B575C" w:rsidP="006303D2">
            <w:pPr>
              <w:jc w:val="center"/>
              <w:rPr>
                <w:rFonts w:ascii="Verdana" w:hAnsi="Verdana"/>
                <w:b/>
                <w:sz w:val="16"/>
                <w:lang w:val="de-CH"/>
              </w:rPr>
            </w:pPr>
            <w:proofErr w:type="spellStart"/>
            <w:r w:rsidRPr="00AC3A88">
              <w:rPr>
                <w:rFonts w:ascii="Verdana" w:hAnsi="Verdana"/>
                <w:b/>
                <w:sz w:val="16"/>
                <w:lang w:val="de-CH"/>
              </w:rPr>
              <w:t>Ordinary</w:t>
            </w:r>
            <w:proofErr w:type="spellEnd"/>
            <w:r w:rsidRPr="00AC3A88">
              <w:rPr>
                <w:rFonts w:ascii="Verdana" w:hAnsi="Verdana"/>
                <w:b/>
                <w:sz w:val="16"/>
                <w:lang w:val="de-CH"/>
              </w:rPr>
              <w:t xml:space="preserve"> </w:t>
            </w:r>
            <w:proofErr w:type="spellStart"/>
            <w:r w:rsidRPr="00AC3A88">
              <w:rPr>
                <w:rFonts w:ascii="Verdana" w:hAnsi="Verdana"/>
                <w:b/>
                <w:sz w:val="16"/>
                <w:lang w:val="de-CH"/>
              </w:rPr>
              <w:t>s</w:t>
            </w:r>
            <w:r w:rsidR="000B6FFD" w:rsidRPr="00AC3A88">
              <w:rPr>
                <w:rFonts w:ascii="Verdana" w:hAnsi="Verdana"/>
                <w:b/>
                <w:sz w:val="16"/>
                <w:lang w:val="de-CH"/>
              </w:rPr>
              <w:t>hare</w:t>
            </w:r>
            <w:proofErr w:type="spellEnd"/>
            <w:r w:rsidR="000B6FFD" w:rsidRPr="00AC3A88">
              <w:rPr>
                <w:rFonts w:ascii="Verdana" w:hAnsi="Verdana"/>
                <w:b/>
                <w:sz w:val="16"/>
                <w:lang w:val="de-CH"/>
              </w:rPr>
              <w:t xml:space="preserve"> </w:t>
            </w:r>
            <w:proofErr w:type="spellStart"/>
            <w:r w:rsidR="000B6FFD" w:rsidRPr="00AC3A88">
              <w:rPr>
                <w:rFonts w:ascii="Verdana" w:hAnsi="Verdana"/>
                <w:b/>
                <w:sz w:val="16"/>
                <w:lang w:val="de-CH"/>
              </w:rPr>
              <w:t>capital</w:t>
            </w:r>
            <w:proofErr w:type="spellEnd"/>
          </w:p>
          <w:p w14:paraId="56DE191C" w14:textId="77777777" w:rsidR="000B6FFD" w:rsidRPr="00AC3A88" w:rsidRDefault="000B6FFD" w:rsidP="006303D2">
            <w:pPr>
              <w:jc w:val="center"/>
              <w:rPr>
                <w:rFonts w:ascii="Verdana" w:hAnsi="Verdana"/>
                <w:b/>
                <w:sz w:val="16"/>
                <w:lang w:val="de-CH"/>
              </w:rPr>
            </w:pPr>
          </w:p>
        </w:tc>
      </w:tr>
      <w:tr w:rsidR="00A14F4C" w:rsidRPr="009755AE" w14:paraId="4BE269F6" w14:textId="77777777" w:rsidTr="00846CDA">
        <w:trPr>
          <w:trHeight w:val="496"/>
        </w:trPr>
        <w:tc>
          <w:tcPr>
            <w:tcW w:w="4962" w:type="dxa"/>
          </w:tcPr>
          <w:p w14:paraId="54E403FF" w14:textId="6D874D56" w:rsidR="00A14F4C" w:rsidRPr="005078ED" w:rsidRDefault="00A14F4C" w:rsidP="00C825D6">
            <w:pPr>
              <w:keepNext/>
              <w:keepLines/>
              <w:widowControl w:val="0"/>
              <w:numPr>
                <w:ilvl w:val="0"/>
                <w:numId w:val="28"/>
              </w:numPr>
              <w:spacing w:before="60"/>
              <w:ind w:left="425" w:hanging="425"/>
              <w:jc w:val="both"/>
              <w:rPr>
                <w:rFonts w:ascii="Verdana" w:hAnsi="Verdana"/>
                <w:sz w:val="16"/>
                <w:lang w:val="de-CH"/>
              </w:rPr>
            </w:pPr>
            <w:r w:rsidRPr="00104941">
              <w:rPr>
                <w:rFonts w:ascii="Verdana" w:hAnsi="Verdana"/>
                <w:sz w:val="16"/>
                <w:lang w:val="de-CH"/>
              </w:rPr>
              <w:t>Das Aktienkapital der Gesellschaft beträgt CHF</w:t>
            </w:r>
            <w:r>
              <w:rPr>
                <w:rFonts w:ascii="Verdana" w:hAnsi="Verdana"/>
                <w:sz w:val="16"/>
                <w:lang w:val="de-CH"/>
              </w:rPr>
              <w:t> </w:t>
            </w:r>
            <w:bookmarkStart w:id="0" w:name="_Hlk103707920"/>
            <w:r w:rsidR="007C6600">
              <w:rPr>
                <w:rFonts w:ascii="Verdana" w:hAnsi="Verdana"/>
                <w:sz w:val="16"/>
                <w:lang w:val="de-CH"/>
              </w:rPr>
              <w:t>3'822'708.72</w:t>
            </w:r>
            <w:bookmarkEnd w:id="0"/>
            <w:r w:rsidRPr="00104941">
              <w:rPr>
                <w:rFonts w:ascii="Verdana" w:hAnsi="Verdana"/>
                <w:sz w:val="16"/>
                <w:lang w:val="de-CH"/>
              </w:rPr>
              <w:t xml:space="preserve">, eingeteilt in </w:t>
            </w:r>
            <w:bookmarkStart w:id="1" w:name="_Hlk103707929"/>
            <w:r w:rsidR="00AF2BFE" w:rsidRPr="00AF2BFE">
              <w:rPr>
                <w:rFonts w:ascii="Verdana" w:hAnsi="Verdana"/>
                <w:sz w:val="16"/>
                <w:lang w:val="de-CH"/>
              </w:rPr>
              <w:t>382'270</w:t>
            </w:r>
            <w:r w:rsidR="00D707C1">
              <w:rPr>
                <w:rFonts w:ascii="Verdana" w:hAnsi="Verdana"/>
                <w:sz w:val="16"/>
                <w:lang w:val="de-CH"/>
              </w:rPr>
              <w:t>'</w:t>
            </w:r>
            <w:r w:rsidR="00AF2BFE" w:rsidRPr="00AF2BFE">
              <w:rPr>
                <w:rFonts w:ascii="Verdana" w:hAnsi="Verdana"/>
                <w:sz w:val="16"/>
                <w:lang w:val="de-CH"/>
              </w:rPr>
              <w:t>872</w:t>
            </w:r>
            <w:bookmarkEnd w:id="1"/>
            <w:r w:rsidR="00514859" w:rsidRPr="00514859">
              <w:rPr>
                <w:rFonts w:ascii="Verdana" w:hAnsi="Verdana"/>
                <w:sz w:val="16"/>
                <w:lang w:val="de-CH"/>
              </w:rPr>
              <w:t xml:space="preserve"> </w:t>
            </w:r>
            <w:r w:rsidRPr="00104941">
              <w:rPr>
                <w:rFonts w:ascii="Verdana" w:hAnsi="Verdana"/>
                <w:sz w:val="16"/>
                <w:lang w:val="de-CH"/>
              </w:rPr>
              <w:t xml:space="preserve">voll einbezahlte und auf den Namen lautende Aktien von </w:t>
            </w:r>
            <w:r w:rsidRPr="00FC1E60">
              <w:rPr>
                <w:rFonts w:ascii="Verdana" w:hAnsi="Verdana"/>
                <w:sz w:val="16"/>
                <w:lang w:val="de-CH"/>
              </w:rPr>
              <w:t>CHF</w:t>
            </w:r>
            <w:r w:rsidR="00DE238D">
              <w:rPr>
                <w:rFonts w:ascii="Verdana" w:hAnsi="Verdana"/>
                <w:sz w:val="16"/>
                <w:lang w:val="de-CH"/>
              </w:rPr>
              <w:t> </w:t>
            </w:r>
            <w:r w:rsidRPr="00FC1E60">
              <w:rPr>
                <w:rFonts w:ascii="Verdana" w:hAnsi="Verdana"/>
                <w:sz w:val="16"/>
                <w:lang w:val="de-CH"/>
              </w:rPr>
              <w:t>0.01</w:t>
            </w:r>
            <w:r w:rsidRPr="00104941">
              <w:rPr>
                <w:rFonts w:ascii="Verdana" w:hAnsi="Verdana"/>
                <w:sz w:val="16"/>
                <w:lang w:val="de-CH"/>
              </w:rPr>
              <w:t xml:space="preserve"> Nennwert. </w:t>
            </w:r>
          </w:p>
        </w:tc>
        <w:tc>
          <w:tcPr>
            <w:tcW w:w="596" w:type="dxa"/>
            <w:vMerge w:val="restart"/>
          </w:tcPr>
          <w:p w14:paraId="4A7A1DA9" w14:textId="77777777" w:rsidR="00A14F4C" w:rsidRPr="00FB7456" w:rsidRDefault="00A14F4C" w:rsidP="00571C78">
            <w:pPr>
              <w:ind w:left="425" w:hanging="425"/>
              <w:jc w:val="both"/>
              <w:rPr>
                <w:rFonts w:ascii="Verdana" w:hAnsi="Verdana"/>
                <w:sz w:val="16"/>
                <w:lang w:val="de-CH"/>
              </w:rPr>
            </w:pPr>
          </w:p>
        </w:tc>
        <w:tc>
          <w:tcPr>
            <w:tcW w:w="5074" w:type="dxa"/>
          </w:tcPr>
          <w:p w14:paraId="4AE8466C" w14:textId="07C64385" w:rsidR="00A14F4C" w:rsidRPr="005078ED" w:rsidRDefault="00A14F4C" w:rsidP="00C825D6">
            <w:pPr>
              <w:keepNext/>
              <w:keepLines/>
              <w:widowControl w:val="0"/>
              <w:numPr>
                <w:ilvl w:val="0"/>
                <w:numId w:val="32"/>
              </w:numPr>
              <w:spacing w:before="60"/>
              <w:ind w:left="425" w:hanging="425"/>
              <w:jc w:val="both"/>
              <w:rPr>
                <w:rFonts w:ascii="Verdana" w:hAnsi="Verdana"/>
                <w:sz w:val="16"/>
                <w:lang w:val="en-US"/>
              </w:rPr>
            </w:pPr>
            <w:r w:rsidRPr="00AC3A88">
              <w:rPr>
                <w:rFonts w:ascii="Verdana" w:hAnsi="Verdana"/>
                <w:sz w:val="16"/>
                <w:lang w:val="en-US"/>
              </w:rPr>
              <w:t>The share capital of the Company amounts to CHF</w:t>
            </w:r>
            <w:r>
              <w:rPr>
                <w:rFonts w:ascii="Verdana" w:hAnsi="Verdana"/>
                <w:sz w:val="16"/>
                <w:lang w:val="en-US"/>
              </w:rPr>
              <w:t> </w:t>
            </w:r>
            <w:r w:rsidR="007C6600" w:rsidRPr="00AF2BFE">
              <w:rPr>
                <w:rFonts w:ascii="Verdana" w:hAnsi="Verdana"/>
                <w:sz w:val="16"/>
                <w:lang w:val="en-US"/>
              </w:rPr>
              <w:t>3'822'708.72</w:t>
            </w:r>
            <w:r w:rsidRPr="00AC3A88">
              <w:rPr>
                <w:rFonts w:ascii="Verdana" w:hAnsi="Verdana"/>
                <w:sz w:val="16"/>
                <w:lang w:val="en-US"/>
              </w:rPr>
              <w:t xml:space="preserve">, consisting of </w:t>
            </w:r>
            <w:r w:rsidR="00AF2BFE" w:rsidRPr="00FD2093">
              <w:rPr>
                <w:rFonts w:ascii="Verdana" w:hAnsi="Verdana"/>
                <w:sz w:val="16"/>
                <w:lang w:val="en-US"/>
              </w:rPr>
              <w:t>382'270</w:t>
            </w:r>
            <w:r w:rsidR="00D707C1" w:rsidRPr="00D707C1">
              <w:rPr>
                <w:rFonts w:ascii="Verdana" w:hAnsi="Verdana"/>
                <w:sz w:val="16"/>
                <w:lang w:val="en-US"/>
              </w:rPr>
              <w:t>'</w:t>
            </w:r>
            <w:r w:rsidR="00AF2BFE" w:rsidRPr="00FD2093">
              <w:rPr>
                <w:rFonts w:ascii="Verdana" w:hAnsi="Verdana"/>
                <w:sz w:val="16"/>
                <w:lang w:val="en-US"/>
              </w:rPr>
              <w:t>872</w:t>
            </w:r>
            <w:r w:rsidR="00213948">
              <w:rPr>
                <w:rFonts w:ascii="Verdana" w:hAnsi="Verdana"/>
                <w:sz w:val="16"/>
                <w:lang w:val="en-US"/>
              </w:rPr>
              <w:t xml:space="preserve"> </w:t>
            </w:r>
            <w:r w:rsidRPr="00AC3A88">
              <w:rPr>
                <w:rFonts w:ascii="Verdana" w:hAnsi="Verdana"/>
                <w:sz w:val="16"/>
                <w:lang w:val="en-US"/>
              </w:rPr>
              <w:t xml:space="preserve">fully-paid-up registered shares each with a nominal value of CHF </w:t>
            </w:r>
            <w:r w:rsidRPr="00FC1E60">
              <w:rPr>
                <w:rFonts w:ascii="Verdana" w:hAnsi="Verdana"/>
                <w:sz w:val="16"/>
                <w:lang w:val="en-US"/>
              </w:rPr>
              <w:t>0.01.</w:t>
            </w:r>
          </w:p>
        </w:tc>
      </w:tr>
      <w:tr w:rsidR="00A14F4C" w:rsidRPr="009755AE" w14:paraId="4445E9E5" w14:textId="77777777" w:rsidTr="00846CDA">
        <w:trPr>
          <w:trHeight w:val="495"/>
        </w:trPr>
        <w:tc>
          <w:tcPr>
            <w:tcW w:w="4962" w:type="dxa"/>
          </w:tcPr>
          <w:p w14:paraId="549495EB" w14:textId="15385E4E" w:rsidR="00A14F4C" w:rsidRPr="00104941" w:rsidRDefault="005078ED" w:rsidP="00C825D6">
            <w:pPr>
              <w:keepNext/>
              <w:keepLines/>
              <w:widowControl w:val="0"/>
              <w:numPr>
                <w:ilvl w:val="0"/>
                <w:numId w:val="28"/>
              </w:numPr>
              <w:spacing w:before="60"/>
              <w:ind w:left="425" w:hanging="425"/>
              <w:jc w:val="both"/>
              <w:rPr>
                <w:rFonts w:ascii="Verdana" w:hAnsi="Verdana"/>
                <w:sz w:val="16"/>
                <w:lang w:val="de-CH"/>
              </w:rPr>
            </w:pPr>
            <w:r w:rsidRPr="00A1421C">
              <w:rPr>
                <w:rFonts w:ascii="Verdana" w:hAnsi="Verdana"/>
                <w:sz w:val="16"/>
                <w:lang w:val="de-CH"/>
              </w:rPr>
              <w:t xml:space="preserve">Die Aktien sind unteilbar. Die Gesellschaft anerkennt für jede Aktie nur einen Berechtigten. Mit dem Aktienerwerb anerkennt der Aktionär die Statuten und die rechtsgültigen Beschlüsse der Gesellschaft. Als Aktionär gilt gegenüber der Gesellschaft nur, wer gültig im Aktienbuch eingetragen ist. Name und Adresse des Aktionärs sind in das Aktienbuch der Gesellschaft einzutragen. </w:t>
            </w:r>
            <w:r w:rsidRPr="00FB7456">
              <w:rPr>
                <w:rFonts w:ascii="Verdana" w:hAnsi="Verdana"/>
                <w:sz w:val="16"/>
                <w:lang w:val="de-CH"/>
              </w:rPr>
              <w:t>Die Bestimmungen dieser Statuten über den Aktionär gelten sowohl für den Eigentümer als auch für den Nutzniesser von Aktien</w:t>
            </w:r>
            <w:r>
              <w:rPr>
                <w:rFonts w:ascii="Verdana" w:hAnsi="Verdana"/>
                <w:sz w:val="16"/>
                <w:lang w:val="de-CH"/>
              </w:rPr>
              <w:t>.</w:t>
            </w:r>
          </w:p>
        </w:tc>
        <w:tc>
          <w:tcPr>
            <w:tcW w:w="596" w:type="dxa"/>
            <w:vMerge/>
          </w:tcPr>
          <w:p w14:paraId="63483069" w14:textId="77777777" w:rsidR="00A14F4C" w:rsidRPr="00FB7456" w:rsidRDefault="00A14F4C" w:rsidP="00571C78">
            <w:pPr>
              <w:ind w:left="425" w:hanging="425"/>
              <w:jc w:val="both"/>
              <w:rPr>
                <w:rFonts w:ascii="Verdana" w:hAnsi="Verdana"/>
                <w:sz w:val="16"/>
                <w:lang w:val="de-CH"/>
              </w:rPr>
            </w:pPr>
          </w:p>
        </w:tc>
        <w:tc>
          <w:tcPr>
            <w:tcW w:w="5074" w:type="dxa"/>
          </w:tcPr>
          <w:p w14:paraId="63761664" w14:textId="6F8E20DE" w:rsidR="00A14F4C" w:rsidRPr="005078ED" w:rsidRDefault="005078ED" w:rsidP="00C825D6">
            <w:pPr>
              <w:keepNext/>
              <w:keepLines/>
              <w:widowControl w:val="0"/>
              <w:numPr>
                <w:ilvl w:val="0"/>
                <w:numId w:val="32"/>
              </w:numPr>
              <w:spacing w:before="60"/>
              <w:ind w:left="425" w:hanging="425"/>
              <w:jc w:val="both"/>
              <w:rPr>
                <w:rFonts w:ascii="Verdana" w:hAnsi="Verdana"/>
                <w:sz w:val="16"/>
                <w:lang w:val="en-US"/>
              </w:rPr>
            </w:pPr>
            <w:r w:rsidRPr="00AC3A88">
              <w:rPr>
                <w:rFonts w:ascii="Verdana" w:hAnsi="Verdana"/>
                <w:sz w:val="16"/>
                <w:lang w:val="en-US"/>
              </w:rPr>
              <w:t xml:space="preserve">The shares are indivisible. The Company </w:t>
            </w:r>
            <w:proofErr w:type="spellStart"/>
            <w:r w:rsidRPr="00AC3A88">
              <w:rPr>
                <w:rFonts w:ascii="Verdana" w:hAnsi="Verdana"/>
                <w:sz w:val="16"/>
                <w:lang w:val="en-US"/>
              </w:rPr>
              <w:t>recognises</w:t>
            </w:r>
            <w:proofErr w:type="spellEnd"/>
            <w:r w:rsidRPr="00AC3A88">
              <w:rPr>
                <w:rFonts w:ascii="Verdana" w:hAnsi="Verdana"/>
                <w:sz w:val="16"/>
                <w:lang w:val="en-US"/>
              </w:rPr>
              <w:t xml:space="preserve"> only one </w:t>
            </w:r>
            <w:proofErr w:type="spellStart"/>
            <w:r w:rsidRPr="00AC3A88">
              <w:rPr>
                <w:rFonts w:ascii="Verdana" w:hAnsi="Verdana"/>
                <w:sz w:val="16"/>
                <w:lang w:val="en-US"/>
              </w:rPr>
              <w:t>authorised</w:t>
            </w:r>
            <w:proofErr w:type="spellEnd"/>
            <w:r w:rsidRPr="00AC3A88">
              <w:rPr>
                <w:rFonts w:ascii="Verdana" w:hAnsi="Verdana"/>
                <w:sz w:val="16"/>
                <w:lang w:val="en-US"/>
              </w:rPr>
              <w:t xml:space="preserve"> shareholder for each share. By acquiring a share or shares, the shareholder acknowledges the Articles of Association and all the legally valid resolutions of the Company. The Company </w:t>
            </w:r>
            <w:proofErr w:type="spellStart"/>
            <w:r w:rsidRPr="00AC3A88">
              <w:rPr>
                <w:rFonts w:ascii="Verdana" w:hAnsi="Verdana"/>
                <w:sz w:val="16"/>
                <w:lang w:val="en-US"/>
              </w:rPr>
              <w:t>re</w:t>
            </w:r>
            <w:r>
              <w:rPr>
                <w:rFonts w:ascii="Verdana" w:hAnsi="Verdana"/>
                <w:sz w:val="16"/>
                <w:lang w:val="en-US"/>
              </w:rPr>
              <w:t>c</w:t>
            </w:r>
            <w:r w:rsidRPr="00AC3A88">
              <w:rPr>
                <w:rFonts w:ascii="Verdana" w:hAnsi="Verdana"/>
                <w:sz w:val="16"/>
                <w:lang w:val="en-US"/>
              </w:rPr>
              <w:t>ognises</w:t>
            </w:r>
            <w:proofErr w:type="spellEnd"/>
            <w:r w:rsidRPr="00AC3A88">
              <w:rPr>
                <w:rFonts w:ascii="Verdana" w:hAnsi="Verdana"/>
                <w:sz w:val="16"/>
                <w:lang w:val="en-US"/>
              </w:rPr>
              <w:t xml:space="preserve"> as shareholders only those individuals or companies with a valid entry in the share register. The name and address of each shareholder are entered in the Company’s share register. The provisions of these articles of association concerning shareholders apply to both the owners and the beneficiaries of the Company’s shares.</w:t>
            </w:r>
          </w:p>
        </w:tc>
      </w:tr>
      <w:tr w:rsidR="00996222" w14:paraId="1E9C3CAA" w14:textId="77777777" w:rsidTr="00846CDA">
        <w:tc>
          <w:tcPr>
            <w:tcW w:w="4962" w:type="dxa"/>
          </w:tcPr>
          <w:p w14:paraId="4807DC35" w14:textId="77777777" w:rsidR="00996222" w:rsidRPr="004D1010" w:rsidRDefault="00996222" w:rsidP="002F245F">
            <w:pPr>
              <w:jc w:val="center"/>
              <w:rPr>
                <w:rFonts w:ascii="Verdana" w:hAnsi="Verdana"/>
                <w:b/>
                <w:sz w:val="16"/>
                <w:lang w:val="en-US"/>
              </w:rPr>
            </w:pPr>
          </w:p>
          <w:p w14:paraId="7097AEEC" w14:textId="316166E8" w:rsidR="00B235BF" w:rsidRDefault="00E90BEA" w:rsidP="002F245F">
            <w:pPr>
              <w:jc w:val="center"/>
              <w:rPr>
                <w:rFonts w:ascii="Verdana" w:hAnsi="Verdana"/>
                <w:b/>
                <w:sz w:val="16"/>
                <w:lang w:val="de-CH"/>
              </w:rPr>
            </w:pPr>
            <w:r>
              <w:rPr>
                <w:rFonts w:ascii="Verdana" w:hAnsi="Verdana"/>
                <w:b/>
                <w:sz w:val="16"/>
                <w:lang w:val="de-CH"/>
              </w:rPr>
              <w:t xml:space="preserve">Art. </w:t>
            </w:r>
            <w:r w:rsidR="006F7726">
              <w:rPr>
                <w:rFonts w:ascii="Verdana" w:hAnsi="Verdana"/>
                <w:b/>
                <w:sz w:val="16"/>
                <w:lang w:val="de-CH"/>
              </w:rPr>
              <w:t>4</w:t>
            </w:r>
            <w:r w:rsidR="00B235BF">
              <w:rPr>
                <w:rFonts w:ascii="Verdana" w:hAnsi="Verdana"/>
                <w:b/>
                <w:sz w:val="16"/>
                <w:lang w:val="de-CH"/>
              </w:rPr>
              <w:t xml:space="preserve"> </w:t>
            </w:r>
          </w:p>
          <w:p w14:paraId="061E937E" w14:textId="70BB4C65" w:rsidR="00EC4F28" w:rsidRPr="00937FAC" w:rsidRDefault="00FB7456" w:rsidP="008B6527">
            <w:pPr>
              <w:spacing w:after="240"/>
              <w:jc w:val="center"/>
              <w:rPr>
                <w:rFonts w:ascii="Verdana" w:hAnsi="Verdana"/>
                <w:b/>
                <w:sz w:val="16"/>
                <w:lang w:val="de-CH"/>
              </w:rPr>
            </w:pPr>
            <w:r>
              <w:rPr>
                <w:rFonts w:ascii="Verdana" w:hAnsi="Verdana"/>
                <w:b/>
                <w:sz w:val="16"/>
                <w:lang w:val="de-CH"/>
              </w:rPr>
              <w:t xml:space="preserve">Bedingtes </w:t>
            </w:r>
            <w:r w:rsidR="00B235BF">
              <w:rPr>
                <w:rFonts w:ascii="Verdana" w:hAnsi="Verdana"/>
                <w:b/>
                <w:sz w:val="16"/>
                <w:lang w:val="de-CH"/>
              </w:rPr>
              <w:t>Aktienk</w:t>
            </w:r>
            <w:r>
              <w:rPr>
                <w:rFonts w:ascii="Verdana" w:hAnsi="Verdana"/>
                <w:b/>
                <w:sz w:val="16"/>
                <w:lang w:val="de-CH"/>
              </w:rPr>
              <w:t>apital</w:t>
            </w:r>
            <w:r w:rsidR="00AE643E">
              <w:rPr>
                <w:rFonts w:ascii="Verdana" w:hAnsi="Verdana"/>
                <w:b/>
                <w:sz w:val="16"/>
                <w:lang w:val="de-CH"/>
              </w:rPr>
              <w:t xml:space="preserve"> für Mitarbeiterbeteiligungen</w:t>
            </w:r>
          </w:p>
        </w:tc>
        <w:tc>
          <w:tcPr>
            <w:tcW w:w="596" w:type="dxa"/>
          </w:tcPr>
          <w:p w14:paraId="5E0CF0B5" w14:textId="77777777" w:rsidR="00996222" w:rsidRPr="00AE643E" w:rsidRDefault="00996222" w:rsidP="002F245F">
            <w:pPr>
              <w:jc w:val="center"/>
              <w:rPr>
                <w:rFonts w:ascii="Verdana" w:hAnsi="Verdana"/>
                <w:sz w:val="16"/>
                <w:lang w:val="de-CH"/>
              </w:rPr>
            </w:pPr>
          </w:p>
        </w:tc>
        <w:tc>
          <w:tcPr>
            <w:tcW w:w="5074" w:type="dxa"/>
          </w:tcPr>
          <w:p w14:paraId="317B48D7" w14:textId="77777777" w:rsidR="00996222" w:rsidRPr="002C3320" w:rsidRDefault="00996222" w:rsidP="002F245F">
            <w:pPr>
              <w:jc w:val="center"/>
              <w:rPr>
                <w:rFonts w:ascii="Verdana" w:hAnsi="Verdana"/>
                <w:b/>
                <w:sz w:val="16"/>
                <w:lang w:val="de-CH"/>
              </w:rPr>
            </w:pPr>
          </w:p>
          <w:p w14:paraId="61A627F6" w14:textId="513A99BB" w:rsidR="00996222" w:rsidRPr="00AC3A88" w:rsidRDefault="000B6FFD" w:rsidP="002F245F">
            <w:pPr>
              <w:jc w:val="center"/>
              <w:rPr>
                <w:rFonts w:ascii="Verdana" w:hAnsi="Verdana"/>
                <w:b/>
                <w:sz w:val="16"/>
                <w:lang w:val="en-US"/>
              </w:rPr>
            </w:pPr>
            <w:r w:rsidRPr="00AC3A88">
              <w:rPr>
                <w:rFonts w:ascii="Verdana" w:hAnsi="Verdana"/>
                <w:b/>
                <w:sz w:val="16"/>
                <w:lang w:val="en-US"/>
              </w:rPr>
              <w:t xml:space="preserve">Art. </w:t>
            </w:r>
            <w:r w:rsidR="006F7726" w:rsidRPr="00AC3A88">
              <w:rPr>
                <w:rFonts w:ascii="Verdana" w:hAnsi="Verdana"/>
                <w:b/>
                <w:sz w:val="16"/>
                <w:lang w:val="en-US"/>
              </w:rPr>
              <w:t>4</w:t>
            </w:r>
          </w:p>
          <w:p w14:paraId="3E57E9A0" w14:textId="77777777" w:rsidR="000B6FFD" w:rsidRPr="00AC3A88" w:rsidRDefault="000B6FFD" w:rsidP="002F245F">
            <w:pPr>
              <w:jc w:val="center"/>
              <w:rPr>
                <w:rFonts w:ascii="Verdana" w:hAnsi="Verdana"/>
                <w:b/>
                <w:sz w:val="16"/>
                <w:lang w:val="en-US"/>
              </w:rPr>
            </w:pPr>
            <w:r w:rsidRPr="00AC3A88">
              <w:rPr>
                <w:rFonts w:ascii="Verdana" w:hAnsi="Verdana"/>
                <w:b/>
                <w:sz w:val="16"/>
                <w:lang w:val="en-US"/>
              </w:rPr>
              <w:t xml:space="preserve">Conditional </w:t>
            </w:r>
            <w:r w:rsidR="00B235BF" w:rsidRPr="00AC3A88">
              <w:rPr>
                <w:rFonts w:ascii="Verdana" w:hAnsi="Verdana"/>
                <w:b/>
                <w:sz w:val="16"/>
                <w:lang w:val="en-US"/>
              </w:rPr>
              <w:t xml:space="preserve">share </w:t>
            </w:r>
            <w:r w:rsidRPr="00AC3A88">
              <w:rPr>
                <w:rFonts w:ascii="Verdana" w:hAnsi="Verdana"/>
                <w:b/>
                <w:sz w:val="16"/>
                <w:lang w:val="en-US"/>
              </w:rPr>
              <w:t>capital</w:t>
            </w:r>
            <w:r w:rsidR="00AE643E" w:rsidRPr="00AC3A88">
              <w:rPr>
                <w:rFonts w:ascii="Verdana" w:hAnsi="Verdana"/>
                <w:b/>
                <w:sz w:val="16"/>
                <w:lang w:val="en-US"/>
              </w:rPr>
              <w:t xml:space="preserve"> for employee benefit plans</w:t>
            </w:r>
          </w:p>
          <w:p w14:paraId="4DAA701F" w14:textId="77777777" w:rsidR="006269B7" w:rsidRPr="00937FAC" w:rsidRDefault="006269B7" w:rsidP="002F245F">
            <w:pPr>
              <w:jc w:val="center"/>
              <w:rPr>
                <w:rFonts w:ascii="Verdana" w:hAnsi="Verdana"/>
                <w:b/>
                <w:sz w:val="16"/>
                <w:lang w:val="en-GB"/>
              </w:rPr>
            </w:pPr>
          </w:p>
        </w:tc>
      </w:tr>
      <w:tr w:rsidR="00680ACC" w14:paraId="468752FF" w14:textId="77777777" w:rsidTr="00846CDA">
        <w:trPr>
          <w:trHeight w:val="491"/>
        </w:trPr>
        <w:tc>
          <w:tcPr>
            <w:tcW w:w="4962" w:type="dxa"/>
          </w:tcPr>
          <w:p w14:paraId="53692BF5" w14:textId="18A66BEF" w:rsidR="00680ACC" w:rsidRPr="003A543A" w:rsidRDefault="00680ACC" w:rsidP="00571C78">
            <w:pPr>
              <w:numPr>
                <w:ilvl w:val="0"/>
                <w:numId w:val="6"/>
              </w:numPr>
              <w:spacing w:before="60"/>
              <w:ind w:left="425" w:hanging="425"/>
              <w:jc w:val="both"/>
              <w:rPr>
                <w:rFonts w:ascii="Verdana" w:hAnsi="Verdana"/>
                <w:sz w:val="16"/>
                <w:lang w:val="de-CH"/>
              </w:rPr>
            </w:pPr>
            <w:r>
              <w:rPr>
                <w:rFonts w:ascii="Verdana" w:hAnsi="Verdana"/>
                <w:sz w:val="16"/>
                <w:lang w:val="de-CH"/>
              </w:rPr>
              <w:t>D</w:t>
            </w:r>
            <w:r w:rsidRPr="00FB7456">
              <w:rPr>
                <w:rFonts w:ascii="Verdana" w:hAnsi="Verdana"/>
                <w:sz w:val="16"/>
                <w:lang w:val="de-CH"/>
              </w:rPr>
              <w:t xml:space="preserve">urch Ausübung von </w:t>
            </w:r>
            <w:r>
              <w:rPr>
                <w:rFonts w:ascii="Verdana" w:hAnsi="Verdana"/>
                <w:sz w:val="16"/>
                <w:lang w:val="de-CH"/>
              </w:rPr>
              <w:t>Rechten oder Anwartschaften auf Erwerb von Aktien (Erwerbsrechte)</w:t>
            </w:r>
            <w:r w:rsidRPr="00FB7456">
              <w:rPr>
                <w:rFonts w:ascii="Verdana" w:hAnsi="Verdana"/>
                <w:sz w:val="16"/>
                <w:lang w:val="de-CH"/>
              </w:rPr>
              <w:t xml:space="preserve">, die den </w:t>
            </w:r>
            <w:r w:rsidRPr="00C93DDE">
              <w:rPr>
                <w:rFonts w:ascii="Verdana" w:hAnsi="Verdana"/>
                <w:sz w:val="16"/>
                <w:lang w:val="de-CH"/>
              </w:rPr>
              <w:t>Mitarbeitern oder Mitgliedern des Verwaltungsrates der Gesellschaft oder von Konzerngesellschaften oder anderen Rechtseinheiten, an denen die Gesellschaft direkt oder indire</w:t>
            </w:r>
            <w:r>
              <w:rPr>
                <w:rFonts w:ascii="Verdana" w:hAnsi="Verdana"/>
                <w:sz w:val="16"/>
                <w:lang w:val="de-CH"/>
              </w:rPr>
              <w:t>k</w:t>
            </w:r>
            <w:r w:rsidRPr="00C93DDE">
              <w:rPr>
                <w:rFonts w:ascii="Verdana" w:hAnsi="Verdana"/>
                <w:sz w:val="16"/>
                <w:lang w:val="de-CH"/>
              </w:rPr>
              <w:t>t zu mindestens 50% beteiligt ist,</w:t>
            </w:r>
            <w:r>
              <w:rPr>
                <w:rFonts w:ascii="Verdana" w:hAnsi="Verdana"/>
                <w:sz w:val="16"/>
                <w:lang w:val="de-CH"/>
              </w:rPr>
              <w:t xml:space="preserve"> </w:t>
            </w:r>
            <w:r w:rsidRPr="00FB7456">
              <w:rPr>
                <w:rFonts w:ascii="Verdana" w:hAnsi="Verdana"/>
                <w:sz w:val="16"/>
                <w:lang w:val="de-CH"/>
              </w:rPr>
              <w:t>im Rahmen der vom Verwaltungsrat reglementarisch festzulegenden Bedingungen gewährt werden</w:t>
            </w:r>
            <w:r>
              <w:rPr>
                <w:rFonts w:ascii="Verdana" w:hAnsi="Verdana"/>
                <w:sz w:val="16"/>
                <w:lang w:val="de-CH"/>
              </w:rPr>
              <w:t>, kann d</w:t>
            </w:r>
            <w:r w:rsidRPr="00FB7456">
              <w:rPr>
                <w:rFonts w:ascii="Verdana" w:hAnsi="Verdana"/>
                <w:sz w:val="16"/>
                <w:lang w:val="de-CH"/>
              </w:rPr>
              <w:t xml:space="preserve">as Aktienkapital der Gesellschaft durch Ausgabe von höchstens </w:t>
            </w:r>
            <w:r>
              <w:rPr>
                <w:rFonts w:ascii="Verdana" w:hAnsi="Verdana"/>
                <w:sz w:val="16"/>
                <w:lang w:val="de-CH"/>
              </w:rPr>
              <w:t>16'002'662</w:t>
            </w:r>
            <w:r w:rsidRPr="00FB7456">
              <w:rPr>
                <w:rFonts w:ascii="Verdana" w:hAnsi="Verdana"/>
                <w:sz w:val="16"/>
                <w:lang w:val="de-CH"/>
              </w:rPr>
              <w:t xml:space="preserve"> vollständig zu liberierenden Namenaktien mit einem Nennwert von je </w:t>
            </w:r>
            <w:r w:rsidRPr="00FC1E60">
              <w:rPr>
                <w:rFonts w:ascii="Verdana" w:hAnsi="Verdana"/>
                <w:sz w:val="16"/>
                <w:lang w:val="de-CH"/>
              </w:rPr>
              <w:t>CHF 0.01 um</w:t>
            </w:r>
            <w:r w:rsidRPr="00FB7456">
              <w:rPr>
                <w:rFonts w:ascii="Verdana" w:hAnsi="Verdana"/>
                <w:sz w:val="16"/>
                <w:lang w:val="de-CH"/>
              </w:rPr>
              <w:t xml:space="preserve"> </w:t>
            </w:r>
            <w:r>
              <w:rPr>
                <w:rFonts w:ascii="Verdana" w:hAnsi="Verdana"/>
                <w:sz w:val="16"/>
                <w:lang w:val="de-CH"/>
              </w:rPr>
              <w:t xml:space="preserve">maximal </w:t>
            </w:r>
            <w:r w:rsidRPr="00FB7456">
              <w:rPr>
                <w:rFonts w:ascii="Verdana" w:hAnsi="Verdana"/>
                <w:sz w:val="16"/>
                <w:lang w:val="de-CH"/>
              </w:rPr>
              <w:t xml:space="preserve">CHF </w:t>
            </w:r>
            <w:r w:rsidRPr="002D6B69">
              <w:rPr>
                <w:rFonts w:ascii="Verdana" w:hAnsi="Verdana"/>
                <w:sz w:val="16"/>
                <w:lang w:val="de-CH"/>
              </w:rPr>
              <w:t>160'026.62</w:t>
            </w:r>
            <w:r w:rsidRPr="00FB7456">
              <w:rPr>
                <w:rFonts w:ascii="Verdana" w:hAnsi="Verdana"/>
                <w:sz w:val="16"/>
                <w:lang w:val="de-CH"/>
              </w:rPr>
              <w:t xml:space="preserve"> erhöht</w:t>
            </w:r>
            <w:r>
              <w:rPr>
                <w:rFonts w:ascii="Verdana" w:hAnsi="Verdana"/>
                <w:sz w:val="16"/>
                <w:lang w:val="de-CH"/>
              </w:rPr>
              <w:t xml:space="preserve"> werden. </w:t>
            </w:r>
          </w:p>
        </w:tc>
        <w:tc>
          <w:tcPr>
            <w:tcW w:w="596" w:type="dxa"/>
            <w:vMerge w:val="restart"/>
          </w:tcPr>
          <w:p w14:paraId="04C83E75" w14:textId="77777777" w:rsidR="00680ACC" w:rsidRPr="00FB7456" w:rsidRDefault="00680ACC" w:rsidP="00571C78">
            <w:pPr>
              <w:spacing w:before="60"/>
              <w:ind w:left="425" w:hanging="425"/>
              <w:jc w:val="both"/>
              <w:rPr>
                <w:rFonts w:ascii="Verdana" w:hAnsi="Verdana"/>
                <w:sz w:val="16"/>
                <w:lang w:val="de-CH"/>
              </w:rPr>
            </w:pPr>
          </w:p>
        </w:tc>
        <w:tc>
          <w:tcPr>
            <w:tcW w:w="5074" w:type="dxa"/>
          </w:tcPr>
          <w:p w14:paraId="65A0025B" w14:textId="5999EB41" w:rsidR="00680ACC" w:rsidRPr="003A543A" w:rsidRDefault="00680ACC" w:rsidP="00C825D6">
            <w:pPr>
              <w:numPr>
                <w:ilvl w:val="0"/>
                <w:numId w:val="33"/>
              </w:numPr>
              <w:spacing w:before="60"/>
              <w:ind w:left="425" w:hanging="425"/>
              <w:jc w:val="both"/>
              <w:rPr>
                <w:rFonts w:ascii="Verdana" w:hAnsi="Verdana"/>
                <w:sz w:val="16"/>
                <w:lang w:val="en-US"/>
              </w:rPr>
            </w:pPr>
            <w:bookmarkStart w:id="2" w:name="OLE_LINK2"/>
            <w:r w:rsidRPr="00AC3A88">
              <w:rPr>
                <w:rFonts w:ascii="Verdana" w:hAnsi="Verdana"/>
                <w:sz w:val="16"/>
                <w:lang w:val="en-US"/>
              </w:rPr>
              <w:t xml:space="preserve">The share capital of the Company may be increased by up to CHF </w:t>
            </w:r>
            <w:r w:rsidRPr="002D6B69">
              <w:rPr>
                <w:rFonts w:ascii="Verdana" w:hAnsi="Verdana"/>
                <w:sz w:val="16"/>
                <w:lang w:val="en-US"/>
              </w:rPr>
              <w:t>160'026.62</w:t>
            </w:r>
            <w:r w:rsidRPr="00AC3A88">
              <w:rPr>
                <w:rFonts w:ascii="Verdana" w:hAnsi="Verdana"/>
                <w:sz w:val="16"/>
                <w:lang w:val="en-US"/>
              </w:rPr>
              <w:t xml:space="preserve"> through the issuance of up to </w:t>
            </w:r>
            <w:r w:rsidRPr="002D6B69">
              <w:rPr>
                <w:rFonts w:ascii="Verdana" w:hAnsi="Verdana"/>
                <w:sz w:val="16"/>
                <w:lang w:val="en-US"/>
              </w:rPr>
              <w:t>16'002'662</w:t>
            </w:r>
            <w:r w:rsidRPr="00AC3A88">
              <w:rPr>
                <w:rFonts w:ascii="Verdana" w:hAnsi="Verdana"/>
                <w:sz w:val="16"/>
                <w:lang w:val="en-US"/>
              </w:rPr>
              <w:t xml:space="preserve"> fully-paid-up registered shares, each with a nominal value of </w:t>
            </w:r>
            <w:r w:rsidRPr="00FC1E60">
              <w:rPr>
                <w:rFonts w:ascii="Verdana" w:hAnsi="Verdana"/>
                <w:sz w:val="16"/>
                <w:lang w:val="en-US"/>
              </w:rPr>
              <w:t>CHF 0.01</w:t>
            </w:r>
            <w:r w:rsidRPr="00AC3A88">
              <w:rPr>
                <w:rFonts w:ascii="Verdana" w:hAnsi="Verdana"/>
                <w:sz w:val="16"/>
                <w:lang w:val="en-US"/>
              </w:rPr>
              <w:t xml:space="preserve"> through the exercising of rights or entitlements in respect of shares (</w:t>
            </w:r>
            <w:r>
              <w:rPr>
                <w:rFonts w:ascii="Verdana" w:hAnsi="Verdana"/>
                <w:sz w:val="16"/>
                <w:lang w:val="en-US"/>
              </w:rPr>
              <w:t>"</w:t>
            </w:r>
            <w:r w:rsidRPr="00AC3A88">
              <w:rPr>
                <w:rFonts w:ascii="Verdana" w:hAnsi="Verdana"/>
                <w:sz w:val="16"/>
                <w:lang w:val="en-US"/>
              </w:rPr>
              <w:t>Share Related Rights</w:t>
            </w:r>
            <w:r>
              <w:rPr>
                <w:rFonts w:ascii="Verdana" w:hAnsi="Verdana"/>
                <w:sz w:val="16"/>
                <w:lang w:val="en-US"/>
              </w:rPr>
              <w:t>"</w:t>
            </w:r>
            <w:r w:rsidRPr="00AC3A88">
              <w:rPr>
                <w:rFonts w:ascii="Verdana" w:hAnsi="Verdana"/>
                <w:sz w:val="16"/>
                <w:lang w:val="en-US"/>
              </w:rPr>
              <w:t>) granted to employees or directors of the Company, its consolidated subsidiaries or other entities in which the Company has a direct or indirect stake of at least 50% in accordance with regulations and terms and conditions to be specified by the Board of Directors.</w:t>
            </w:r>
            <w:bookmarkEnd w:id="2"/>
            <w:r w:rsidRPr="003A543A">
              <w:rPr>
                <w:rFonts w:ascii="Verdana" w:hAnsi="Verdana"/>
                <w:sz w:val="16"/>
                <w:lang w:val="en-US"/>
              </w:rPr>
              <w:t xml:space="preserve"> </w:t>
            </w:r>
          </w:p>
        </w:tc>
      </w:tr>
      <w:tr w:rsidR="00680ACC" w14:paraId="40DA272C" w14:textId="77777777" w:rsidTr="00846CDA">
        <w:trPr>
          <w:trHeight w:val="489"/>
        </w:trPr>
        <w:tc>
          <w:tcPr>
            <w:tcW w:w="4962" w:type="dxa"/>
          </w:tcPr>
          <w:p w14:paraId="5A26341B" w14:textId="0444EA8D" w:rsidR="00680ACC" w:rsidRDefault="00680ACC" w:rsidP="00571C78">
            <w:pPr>
              <w:numPr>
                <w:ilvl w:val="0"/>
                <w:numId w:val="6"/>
              </w:numPr>
              <w:spacing w:before="60"/>
              <w:ind w:left="425" w:hanging="425"/>
              <w:jc w:val="both"/>
              <w:rPr>
                <w:rFonts w:ascii="Verdana" w:hAnsi="Verdana"/>
                <w:sz w:val="16"/>
                <w:lang w:val="de-CH"/>
              </w:rPr>
            </w:pPr>
            <w:r w:rsidRPr="00B235BF">
              <w:rPr>
                <w:rFonts w:ascii="Verdana" w:hAnsi="Verdana"/>
                <w:sz w:val="16"/>
                <w:lang w:val="de-CH"/>
              </w:rPr>
              <w:t>Das Bezugsrecht der Aktionäre ist ausgeschlossen.</w:t>
            </w:r>
          </w:p>
        </w:tc>
        <w:tc>
          <w:tcPr>
            <w:tcW w:w="596" w:type="dxa"/>
            <w:vMerge/>
          </w:tcPr>
          <w:p w14:paraId="06A9DACF" w14:textId="77777777" w:rsidR="00680ACC" w:rsidRPr="00FB7456" w:rsidRDefault="00680ACC" w:rsidP="00571C78">
            <w:pPr>
              <w:spacing w:before="60"/>
              <w:ind w:left="425" w:hanging="425"/>
              <w:jc w:val="both"/>
              <w:rPr>
                <w:rFonts w:ascii="Verdana" w:hAnsi="Verdana"/>
                <w:sz w:val="16"/>
                <w:lang w:val="de-CH"/>
              </w:rPr>
            </w:pPr>
          </w:p>
        </w:tc>
        <w:tc>
          <w:tcPr>
            <w:tcW w:w="5074" w:type="dxa"/>
          </w:tcPr>
          <w:p w14:paraId="3D3BF95D" w14:textId="4D575C9E" w:rsidR="00680ACC" w:rsidRPr="003A543A" w:rsidRDefault="003A543A" w:rsidP="00C825D6">
            <w:pPr>
              <w:numPr>
                <w:ilvl w:val="0"/>
                <w:numId w:val="33"/>
              </w:numPr>
              <w:spacing w:before="60"/>
              <w:ind w:left="425" w:hanging="425"/>
              <w:jc w:val="both"/>
              <w:rPr>
                <w:rFonts w:ascii="Verdana" w:hAnsi="Verdana"/>
                <w:sz w:val="16"/>
                <w:lang w:val="en-US"/>
              </w:rPr>
            </w:pPr>
            <w:r w:rsidRPr="00AC3A88">
              <w:rPr>
                <w:rFonts w:ascii="Verdana" w:hAnsi="Verdana"/>
                <w:sz w:val="16"/>
                <w:lang w:val="en-US"/>
              </w:rPr>
              <w:t>Existing shareholders’ subscription rights shall be excluded.</w:t>
            </w:r>
          </w:p>
        </w:tc>
      </w:tr>
      <w:tr w:rsidR="00680ACC" w14:paraId="6B0C7CD3" w14:textId="77777777" w:rsidTr="00846CDA">
        <w:trPr>
          <w:trHeight w:val="489"/>
        </w:trPr>
        <w:tc>
          <w:tcPr>
            <w:tcW w:w="4962" w:type="dxa"/>
          </w:tcPr>
          <w:p w14:paraId="0C1D9A48" w14:textId="0C000232" w:rsidR="00680ACC" w:rsidRDefault="00680ACC" w:rsidP="00571C78">
            <w:pPr>
              <w:numPr>
                <w:ilvl w:val="0"/>
                <w:numId w:val="6"/>
              </w:numPr>
              <w:spacing w:before="60"/>
              <w:ind w:left="425" w:hanging="425"/>
              <w:jc w:val="both"/>
              <w:rPr>
                <w:rFonts w:ascii="Verdana" w:hAnsi="Verdana"/>
                <w:sz w:val="16"/>
                <w:lang w:val="de-CH"/>
              </w:rPr>
            </w:pPr>
            <w:r w:rsidRPr="00A1421C">
              <w:rPr>
                <w:rFonts w:ascii="Verdana" w:hAnsi="Verdana"/>
                <w:sz w:val="16"/>
                <w:lang w:val="de-CH"/>
              </w:rPr>
              <w:t xml:space="preserve">Der Erwerb der Namenaktien durch die Ausübung von </w:t>
            </w:r>
            <w:r>
              <w:rPr>
                <w:rFonts w:ascii="Verdana" w:hAnsi="Verdana"/>
                <w:sz w:val="16"/>
                <w:lang w:val="de-CH"/>
              </w:rPr>
              <w:t>Erwerbsrechten</w:t>
            </w:r>
            <w:r w:rsidRPr="00A1421C">
              <w:rPr>
                <w:rFonts w:ascii="Verdana" w:hAnsi="Verdana"/>
                <w:sz w:val="16"/>
                <w:lang w:val="de-CH"/>
              </w:rPr>
              <w:t xml:space="preserve"> und die weitere Übertragung der Namenaktien unterliegen den </w:t>
            </w:r>
            <w:r>
              <w:rPr>
                <w:rFonts w:ascii="Verdana" w:hAnsi="Verdana"/>
                <w:sz w:val="16"/>
                <w:lang w:val="de-CH"/>
              </w:rPr>
              <w:t>Eintragung</w:t>
            </w:r>
            <w:r w:rsidRPr="00A1421C">
              <w:rPr>
                <w:rFonts w:ascii="Verdana" w:hAnsi="Verdana"/>
                <w:sz w:val="16"/>
                <w:lang w:val="de-CH"/>
              </w:rPr>
              <w:t xml:space="preserve">sbeschränkungen gemäss Art. </w:t>
            </w:r>
            <w:r>
              <w:rPr>
                <w:rFonts w:ascii="Verdana" w:hAnsi="Verdana"/>
                <w:sz w:val="16"/>
                <w:lang w:val="de-CH"/>
              </w:rPr>
              <w:t>7</w:t>
            </w:r>
            <w:r w:rsidRPr="00A1421C">
              <w:rPr>
                <w:rFonts w:ascii="Verdana" w:hAnsi="Verdana"/>
                <w:sz w:val="16"/>
                <w:lang w:val="de-CH"/>
              </w:rPr>
              <w:t xml:space="preserve"> der Statuten</w:t>
            </w:r>
            <w:r>
              <w:rPr>
                <w:rFonts w:ascii="Verdana" w:hAnsi="Verdana"/>
                <w:sz w:val="16"/>
                <w:lang w:val="de-CH"/>
              </w:rPr>
              <w:t>.</w:t>
            </w:r>
          </w:p>
        </w:tc>
        <w:tc>
          <w:tcPr>
            <w:tcW w:w="596" w:type="dxa"/>
            <w:vMerge/>
          </w:tcPr>
          <w:p w14:paraId="66B460B8" w14:textId="77777777" w:rsidR="00680ACC" w:rsidRPr="00FB7456" w:rsidRDefault="00680ACC" w:rsidP="00571C78">
            <w:pPr>
              <w:spacing w:before="60"/>
              <w:ind w:left="425" w:hanging="425"/>
              <w:jc w:val="both"/>
              <w:rPr>
                <w:rFonts w:ascii="Verdana" w:hAnsi="Verdana"/>
                <w:sz w:val="16"/>
                <w:lang w:val="de-CH"/>
              </w:rPr>
            </w:pPr>
          </w:p>
        </w:tc>
        <w:tc>
          <w:tcPr>
            <w:tcW w:w="5074" w:type="dxa"/>
          </w:tcPr>
          <w:p w14:paraId="30EF6543" w14:textId="4FE25FFC" w:rsidR="00680ACC" w:rsidRPr="003A543A" w:rsidRDefault="003A543A" w:rsidP="00C825D6">
            <w:pPr>
              <w:numPr>
                <w:ilvl w:val="0"/>
                <w:numId w:val="33"/>
              </w:numPr>
              <w:spacing w:before="60"/>
              <w:ind w:left="425" w:hanging="425"/>
              <w:jc w:val="both"/>
              <w:rPr>
                <w:rFonts w:ascii="Verdana" w:hAnsi="Verdana"/>
                <w:sz w:val="16"/>
                <w:lang w:val="en-GB"/>
              </w:rPr>
            </w:pPr>
            <w:r w:rsidRPr="00AC3A88">
              <w:rPr>
                <w:rFonts w:ascii="Verdana" w:hAnsi="Verdana"/>
                <w:sz w:val="16"/>
                <w:lang w:val="en-US"/>
              </w:rPr>
              <w:t>The acquisition of registered shares by exercising Share Related Rights and the subsequent transfer of such registered shares are subject to the registration restrictions specified in Art</w:t>
            </w:r>
            <w:r>
              <w:rPr>
                <w:rFonts w:ascii="Verdana" w:hAnsi="Verdana"/>
                <w:sz w:val="16"/>
                <w:lang w:val="en-US"/>
              </w:rPr>
              <w:t>.</w:t>
            </w:r>
            <w:r w:rsidRPr="00AC3A88">
              <w:rPr>
                <w:rFonts w:ascii="Verdana" w:hAnsi="Verdana"/>
                <w:sz w:val="16"/>
                <w:lang w:val="en-US"/>
              </w:rPr>
              <w:t xml:space="preserve"> 7 </w:t>
            </w:r>
            <w:r w:rsidRPr="00B129A2">
              <w:rPr>
                <w:rFonts w:ascii="Verdana" w:hAnsi="Verdana"/>
                <w:sz w:val="16"/>
                <w:lang w:val="en-US"/>
              </w:rPr>
              <w:t>of these Articles of Association</w:t>
            </w:r>
            <w:r w:rsidRPr="00AC3A88">
              <w:rPr>
                <w:rFonts w:ascii="Verdana" w:hAnsi="Verdana"/>
                <w:sz w:val="16"/>
                <w:lang w:val="en-US"/>
              </w:rPr>
              <w:t>.</w:t>
            </w:r>
            <w:r w:rsidRPr="007977CB" w:rsidDel="00E03B37">
              <w:rPr>
                <w:rFonts w:ascii="Verdana" w:hAnsi="Verdana"/>
                <w:sz w:val="16"/>
                <w:highlight w:val="yellow"/>
                <w:lang w:val="en-GB"/>
              </w:rPr>
              <w:t xml:space="preserve"> </w:t>
            </w:r>
          </w:p>
        </w:tc>
      </w:tr>
      <w:tr w:rsidR="00680ACC" w14:paraId="26749A39" w14:textId="77777777" w:rsidTr="00846CDA">
        <w:trPr>
          <w:trHeight w:val="489"/>
        </w:trPr>
        <w:tc>
          <w:tcPr>
            <w:tcW w:w="4962" w:type="dxa"/>
          </w:tcPr>
          <w:p w14:paraId="591DA16A" w14:textId="20398E3A" w:rsidR="00680ACC" w:rsidRDefault="00680ACC" w:rsidP="00571C78">
            <w:pPr>
              <w:numPr>
                <w:ilvl w:val="0"/>
                <w:numId w:val="6"/>
              </w:numPr>
              <w:spacing w:before="60"/>
              <w:ind w:left="425" w:hanging="425"/>
              <w:jc w:val="both"/>
              <w:rPr>
                <w:rFonts w:ascii="Verdana" w:hAnsi="Verdana"/>
                <w:sz w:val="16"/>
                <w:lang w:val="de-CH"/>
              </w:rPr>
            </w:pPr>
            <w:r w:rsidRPr="007218CF">
              <w:rPr>
                <w:rFonts w:ascii="Verdana" w:hAnsi="Verdana"/>
                <w:sz w:val="16"/>
                <w:lang w:val="de-CH"/>
              </w:rPr>
              <w:t>Vorausgesetzt das bedingte Aktienkapital gemäss Art. 5 dieser Statuten wurde aufgebraucht, reduziert sich der Maximalbetrag des bedingten Aktienkapitals gemäss Abs. 1 dieses Artikels in dem Umfang, in dem der Verwaltungsrat gestützt auf Art. 6 dieser Statuten Namenaktien ausgibt</w:t>
            </w:r>
            <w:r w:rsidRPr="007218CF">
              <w:rPr>
                <w:rFonts w:ascii="Verdana" w:hAnsi="Verdana"/>
                <w:color w:val="000000" w:themeColor="text1"/>
                <w:sz w:val="16"/>
                <w:szCs w:val="16"/>
                <w:lang w:val="de-CH"/>
              </w:rPr>
              <w:t>.</w:t>
            </w:r>
          </w:p>
        </w:tc>
        <w:tc>
          <w:tcPr>
            <w:tcW w:w="596" w:type="dxa"/>
            <w:vMerge/>
          </w:tcPr>
          <w:p w14:paraId="60C63599" w14:textId="77777777" w:rsidR="00680ACC" w:rsidRPr="00FB7456" w:rsidRDefault="00680ACC" w:rsidP="00571C78">
            <w:pPr>
              <w:spacing w:before="60"/>
              <w:ind w:left="425" w:hanging="425"/>
              <w:jc w:val="both"/>
              <w:rPr>
                <w:rFonts w:ascii="Verdana" w:hAnsi="Verdana"/>
                <w:sz w:val="16"/>
                <w:lang w:val="de-CH"/>
              </w:rPr>
            </w:pPr>
          </w:p>
        </w:tc>
        <w:tc>
          <w:tcPr>
            <w:tcW w:w="5074" w:type="dxa"/>
          </w:tcPr>
          <w:p w14:paraId="2F032379" w14:textId="20187D73" w:rsidR="00680ACC" w:rsidRPr="00AC3A88" w:rsidRDefault="003A543A" w:rsidP="00C825D6">
            <w:pPr>
              <w:numPr>
                <w:ilvl w:val="0"/>
                <w:numId w:val="33"/>
              </w:numPr>
              <w:spacing w:before="60"/>
              <w:ind w:left="425" w:hanging="425"/>
              <w:jc w:val="both"/>
              <w:rPr>
                <w:rFonts w:ascii="Verdana" w:hAnsi="Verdana"/>
                <w:sz w:val="16"/>
                <w:lang w:val="en-US"/>
              </w:rPr>
            </w:pPr>
            <w:r w:rsidRPr="007218CF">
              <w:rPr>
                <w:rFonts w:ascii="Verdana" w:hAnsi="Verdana"/>
                <w:sz w:val="16"/>
                <w:lang w:val="en-GB"/>
              </w:rPr>
              <w:t xml:space="preserve">Subject to the conditional share capital according to Art. 5 of these Articles having been used, the </w:t>
            </w:r>
            <w:r w:rsidRPr="007218CF">
              <w:rPr>
                <w:rFonts w:ascii="Verdana" w:hAnsi="Verdana"/>
                <w:sz w:val="16"/>
                <w:lang w:val="en-US"/>
              </w:rPr>
              <w:t>maximum amount of the conditional share capital according to paragraph 1 of this article will be reduced by the amount for which the Board of Directors has issued registered shares based on Art. 6 of these articles.</w:t>
            </w:r>
          </w:p>
        </w:tc>
      </w:tr>
      <w:tr w:rsidR="00AE643E" w:rsidRPr="006303D2" w14:paraId="2C173943" w14:textId="77777777" w:rsidTr="00846CDA">
        <w:tc>
          <w:tcPr>
            <w:tcW w:w="4962" w:type="dxa"/>
          </w:tcPr>
          <w:p w14:paraId="5087D6BB" w14:textId="77777777" w:rsidR="00AE643E" w:rsidRPr="00EC4F28" w:rsidRDefault="00AE643E" w:rsidP="002F245F">
            <w:pPr>
              <w:jc w:val="center"/>
              <w:rPr>
                <w:rFonts w:ascii="Verdana" w:hAnsi="Verdana"/>
                <w:b/>
                <w:sz w:val="16"/>
                <w:lang w:val="en-US"/>
              </w:rPr>
            </w:pPr>
          </w:p>
          <w:p w14:paraId="06459276" w14:textId="55C97CD5" w:rsidR="00AE643E" w:rsidRPr="0084172B" w:rsidRDefault="00AE643E" w:rsidP="002F245F">
            <w:pPr>
              <w:jc w:val="center"/>
              <w:rPr>
                <w:rFonts w:ascii="Verdana" w:hAnsi="Verdana"/>
                <w:b/>
                <w:sz w:val="16"/>
                <w:lang w:val="de-CH"/>
              </w:rPr>
            </w:pPr>
            <w:r w:rsidRPr="0084172B">
              <w:rPr>
                <w:rFonts w:ascii="Verdana" w:hAnsi="Verdana"/>
                <w:b/>
                <w:sz w:val="16"/>
                <w:lang w:val="de-CH"/>
              </w:rPr>
              <w:t>Art. 5</w:t>
            </w:r>
          </w:p>
          <w:p w14:paraId="36107A21" w14:textId="5C6EAF15" w:rsidR="00AE643E" w:rsidRPr="0084172B" w:rsidRDefault="00AE643E" w:rsidP="002F245F">
            <w:pPr>
              <w:jc w:val="center"/>
              <w:rPr>
                <w:rFonts w:ascii="Verdana" w:hAnsi="Verdana"/>
                <w:b/>
                <w:sz w:val="16"/>
                <w:lang w:val="de-CH"/>
              </w:rPr>
            </w:pPr>
            <w:r w:rsidRPr="0084172B">
              <w:rPr>
                <w:rFonts w:ascii="Verdana" w:hAnsi="Verdana"/>
                <w:b/>
                <w:sz w:val="16"/>
                <w:lang w:val="de-CH"/>
              </w:rPr>
              <w:t>Bedingtes Aktienkapital für aktiengeb</w:t>
            </w:r>
            <w:r w:rsidR="00BC15C5" w:rsidRPr="0084172B">
              <w:rPr>
                <w:rFonts w:ascii="Verdana" w:hAnsi="Verdana"/>
                <w:b/>
                <w:sz w:val="16"/>
                <w:lang w:val="de-CH"/>
              </w:rPr>
              <w:t>undene Finanzierungsinstrumente</w:t>
            </w:r>
          </w:p>
        </w:tc>
        <w:tc>
          <w:tcPr>
            <w:tcW w:w="596" w:type="dxa"/>
          </w:tcPr>
          <w:p w14:paraId="312A25D9" w14:textId="77777777" w:rsidR="00AE643E" w:rsidRPr="0084172B" w:rsidRDefault="00AE643E" w:rsidP="006303D2">
            <w:pPr>
              <w:jc w:val="center"/>
              <w:rPr>
                <w:rFonts w:ascii="Verdana" w:hAnsi="Verdana"/>
                <w:b/>
                <w:sz w:val="16"/>
                <w:lang w:val="de-CH"/>
              </w:rPr>
            </w:pPr>
          </w:p>
        </w:tc>
        <w:tc>
          <w:tcPr>
            <w:tcW w:w="5074" w:type="dxa"/>
          </w:tcPr>
          <w:p w14:paraId="38FAB1DA" w14:textId="77777777" w:rsidR="00AE643E" w:rsidRPr="0084172B" w:rsidRDefault="00AE643E" w:rsidP="002F245F">
            <w:pPr>
              <w:jc w:val="center"/>
              <w:rPr>
                <w:rFonts w:ascii="Verdana" w:hAnsi="Verdana"/>
                <w:b/>
                <w:sz w:val="16"/>
                <w:lang w:val="de-CH"/>
              </w:rPr>
            </w:pPr>
          </w:p>
          <w:p w14:paraId="0485BEA2" w14:textId="2DC6DD95" w:rsidR="00AE643E" w:rsidRPr="006303D2" w:rsidRDefault="00AE643E" w:rsidP="002F245F">
            <w:pPr>
              <w:jc w:val="center"/>
              <w:rPr>
                <w:rFonts w:ascii="Verdana" w:hAnsi="Verdana"/>
                <w:b/>
                <w:sz w:val="16"/>
                <w:lang w:val="en-US"/>
              </w:rPr>
            </w:pPr>
            <w:r w:rsidRPr="006303D2">
              <w:rPr>
                <w:rFonts w:ascii="Verdana" w:hAnsi="Verdana"/>
                <w:b/>
                <w:sz w:val="16"/>
                <w:lang w:val="en-US"/>
              </w:rPr>
              <w:t>Art. 5</w:t>
            </w:r>
          </w:p>
          <w:p w14:paraId="19EEF670" w14:textId="77777777" w:rsidR="00AE643E" w:rsidRPr="006303D2" w:rsidRDefault="00AE643E" w:rsidP="002F245F">
            <w:pPr>
              <w:jc w:val="center"/>
              <w:rPr>
                <w:rFonts w:ascii="Verdana" w:hAnsi="Verdana"/>
                <w:b/>
                <w:sz w:val="16"/>
                <w:lang w:val="en-US"/>
              </w:rPr>
            </w:pPr>
            <w:r w:rsidRPr="006303D2">
              <w:rPr>
                <w:rFonts w:ascii="Verdana" w:hAnsi="Verdana"/>
                <w:b/>
                <w:sz w:val="16"/>
                <w:lang w:val="en-US"/>
              </w:rPr>
              <w:t>Conditional share capital for Equi</w:t>
            </w:r>
            <w:r w:rsidR="00BC15C5" w:rsidRPr="006303D2">
              <w:rPr>
                <w:rFonts w:ascii="Verdana" w:hAnsi="Verdana"/>
                <w:b/>
                <w:sz w:val="16"/>
                <w:lang w:val="en-US"/>
              </w:rPr>
              <w:t>ty Linked Financing Instruments</w:t>
            </w:r>
          </w:p>
          <w:p w14:paraId="7F70F941" w14:textId="77777777" w:rsidR="00AE643E" w:rsidRPr="006303D2" w:rsidRDefault="00AE643E" w:rsidP="006303D2">
            <w:pPr>
              <w:jc w:val="center"/>
              <w:rPr>
                <w:rFonts w:ascii="Verdana" w:hAnsi="Verdana"/>
                <w:b/>
                <w:sz w:val="16"/>
                <w:lang w:val="en-US"/>
              </w:rPr>
            </w:pPr>
          </w:p>
        </w:tc>
      </w:tr>
      <w:tr w:rsidR="00391819" w:rsidRPr="00AE643E" w14:paraId="286BCCBE" w14:textId="77777777" w:rsidTr="00846CDA">
        <w:trPr>
          <w:trHeight w:val="694"/>
        </w:trPr>
        <w:tc>
          <w:tcPr>
            <w:tcW w:w="4962" w:type="dxa"/>
          </w:tcPr>
          <w:p w14:paraId="59973890" w14:textId="2F253A7D" w:rsidR="00391819" w:rsidRPr="009A7DC9" w:rsidRDefault="00391819" w:rsidP="00C825D6">
            <w:pPr>
              <w:numPr>
                <w:ilvl w:val="0"/>
                <w:numId w:val="19"/>
              </w:numPr>
              <w:spacing w:before="60"/>
              <w:ind w:left="425" w:hanging="425"/>
              <w:jc w:val="both"/>
              <w:rPr>
                <w:rFonts w:ascii="Verdana" w:hAnsi="Verdana"/>
                <w:sz w:val="16"/>
                <w:lang w:val="de-CH"/>
              </w:rPr>
            </w:pPr>
            <w:r>
              <w:rPr>
                <w:rFonts w:ascii="Verdana" w:hAnsi="Verdana"/>
                <w:sz w:val="16"/>
                <w:lang w:val="de-CH"/>
              </w:rPr>
              <w:t>Das</w:t>
            </w:r>
            <w:r w:rsidRPr="00B235BF">
              <w:rPr>
                <w:rFonts w:ascii="Verdana" w:hAnsi="Verdana"/>
                <w:sz w:val="16"/>
                <w:lang w:val="de-CH"/>
              </w:rPr>
              <w:t xml:space="preserve"> Aktienkapital der Gesellschaft </w:t>
            </w:r>
            <w:r>
              <w:rPr>
                <w:rFonts w:ascii="Verdana" w:hAnsi="Verdana"/>
                <w:sz w:val="16"/>
                <w:lang w:val="de-CH"/>
              </w:rPr>
              <w:t xml:space="preserve">kann </w:t>
            </w:r>
            <w:r w:rsidRPr="00B235BF">
              <w:rPr>
                <w:rFonts w:ascii="Verdana" w:hAnsi="Verdana"/>
                <w:sz w:val="16"/>
                <w:lang w:val="de-CH"/>
              </w:rPr>
              <w:t xml:space="preserve">durch freiwillige oder obligatorische Ausübung von </w:t>
            </w:r>
            <w:bookmarkStart w:id="3" w:name="_Hlk126144604"/>
            <w:r w:rsidR="00D96E39" w:rsidRPr="00D96E39">
              <w:rPr>
                <w:rFonts w:ascii="Verdana" w:hAnsi="Verdana"/>
                <w:sz w:val="16"/>
                <w:lang w:val="de-CH"/>
              </w:rPr>
              <w:t>Wandel</w:t>
            </w:r>
            <w:r w:rsidR="00BC6214">
              <w:rPr>
                <w:rFonts w:ascii="Verdana" w:hAnsi="Verdana"/>
                <w:sz w:val="16"/>
                <w:lang w:val="de-CH"/>
              </w:rPr>
              <w:t>-</w:t>
            </w:r>
            <w:r w:rsidR="00DB0233">
              <w:rPr>
                <w:rFonts w:ascii="Verdana" w:hAnsi="Verdana"/>
                <w:sz w:val="16"/>
                <w:lang w:val="de-CH"/>
              </w:rPr>
              <w:t xml:space="preserve"> und/oder</w:t>
            </w:r>
            <w:r w:rsidR="00D96E39" w:rsidRPr="00D96E39">
              <w:rPr>
                <w:rFonts w:ascii="Verdana" w:hAnsi="Verdana"/>
                <w:sz w:val="16"/>
                <w:lang w:val="de-CH"/>
              </w:rPr>
              <w:t xml:space="preserve"> Options</w:t>
            </w:r>
            <w:r w:rsidR="00DB0233">
              <w:rPr>
                <w:rFonts w:ascii="Verdana" w:hAnsi="Verdana"/>
                <w:sz w:val="16"/>
                <w:lang w:val="de-CH"/>
              </w:rPr>
              <w:t>rechte</w:t>
            </w:r>
            <w:bookmarkEnd w:id="3"/>
            <w:r w:rsidR="005D1A87">
              <w:rPr>
                <w:rFonts w:ascii="Verdana" w:hAnsi="Verdana"/>
                <w:sz w:val="16"/>
                <w:lang w:val="de-CH"/>
              </w:rPr>
              <w:t xml:space="preserve">n, die </w:t>
            </w:r>
            <w:r w:rsidR="00D96E39" w:rsidRPr="00D96E39">
              <w:rPr>
                <w:rFonts w:ascii="Verdana" w:hAnsi="Verdana"/>
                <w:sz w:val="16"/>
                <w:lang w:val="de-CH"/>
              </w:rPr>
              <w:t>in Verbindung mit Anleihens</w:t>
            </w:r>
            <w:r w:rsidR="00EE2442">
              <w:rPr>
                <w:rFonts w:ascii="Verdana" w:hAnsi="Verdana"/>
                <w:sz w:val="16"/>
                <w:lang w:val="de-CH"/>
              </w:rPr>
              <w:t>- oder ähnlichen Instrumenten, einschliesslich Darlehen</w:t>
            </w:r>
            <w:r w:rsidR="00DB0233">
              <w:rPr>
                <w:rFonts w:ascii="Verdana" w:hAnsi="Verdana"/>
                <w:sz w:val="16"/>
                <w:lang w:val="de-CH"/>
              </w:rPr>
              <w:t xml:space="preserve"> oder</w:t>
            </w:r>
            <w:r w:rsidR="00E0615F">
              <w:rPr>
                <w:rFonts w:ascii="Verdana" w:hAnsi="Verdana"/>
                <w:sz w:val="16"/>
                <w:lang w:val="de-CH"/>
              </w:rPr>
              <w:t xml:space="preserve"> </w:t>
            </w:r>
            <w:r w:rsidR="00D96E39" w:rsidRPr="00D96E39">
              <w:rPr>
                <w:rFonts w:ascii="Verdana" w:hAnsi="Verdana"/>
                <w:sz w:val="16"/>
                <w:lang w:val="de-CH"/>
              </w:rPr>
              <w:t>andere</w:t>
            </w:r>
            <w:r w:rsidR="005D1A87">
              <w:rPr>
                <w:rFonts w:ascii="Verdana" w:hAnsi="Verdana"/>
                <w:sz w:val="16"/>
                <w:lang w:val="de-CH"/>
              </w:rPr>
              <w:t>r</w:t>
            </w:r>
            <w:r w:rsidR="00D96E39" w:rsidRPr="00D96E39">
              <w:rPr>
                <w:rFonts w:ascii="Verdana" w:hAnsi="Verdana"/>
                <w:sz w:val="16"/>
                <w:lang w:val="de-CH"/>
              </w:rPr>
              <w:t xml:space="preserve"> </w:t>
            </w:r>
            <w:r w:rsidR="00CD23E8">
              <w:rPr>
                <w:rFonts w:ascii="Verdana" w:hAnsi="Verdana"/>
                <w:sz w:val="16"/>
                <w:lang w:val="de-CH"/>
              </w:rPr>
              <w:t>Finanzierungsinstrumente</w:t>
            </w:r>
            <w:r w:rsidR="00D96E39" w:rsidRPr="00D96E39">
              <w:rPr>
                <w:rFonts w:ascii="Verdana" w:hAnsi="Verdana"/>
                <w:sz w:val="16"/>
                <w:lang w:val="de-CH"/>
              </w:rPr>
              <w:t xml:space="preserve"> der Gesellschaft oder </w:t>
            </w:r>
            <w:r w:rsidR="003C3173">
              <w:rPr>
                <w:rFonts w:ascii="Verdana" w:hAnsi="Verdana"/>
                <w:sz w:val="16"/>
                <w:lang w:val="de-CH"/>
              </w:rPr>
              <w:t>von</w:t>
            </w:r>
            <w:r w:rsidR="00D96E39" w:rsidRPr="00D96E39">
              <w:rPr>
                <w:rFonts w:ascii="Verdana" w:hAnsi="Verdana"/>
                <w:sz w:val="16"/>
                <w:lang w:val="de-CH"/>
              </w:rPr>
              <w:t xml:space="preserve"> Konzerngesellschaften </w:t>
            </w:r>
            <w:r w:rsidR="001A62E7" w:rsidRPr="00B235BF">
              <w:rPr>
                <w:rFonts w:ascii="Verdana" w:hAnsi="Verdana"/>
                <w:sz w:val="16"/>
                <w:lang w:val="de-CH"/>
              </w:rPr>
              <w:t>(zusammen nachfolgend "aktiengebundene Finanzierungsinstrumente" genannt)</w:t>
            </w:r>
            <w:r w:rsidR="00894FD9">
              <w:rPr>
                <w:rFonts w:ascii="Verdana" w:hAnsi="Verdana"/>
                <w:sz w:val="16"/>
                <w:lang w:val="de-CH"/>
              </w:rPr>
              <w:t xml:space="preserve"> ausgegeben werden oder wurden</w:t>
            </w:r>
            <w:r w:rsidR="00D96E39">
              <w:rPr>
                <w:rFonts w:ascii="Verdana" w:hAnsi="Verdana"/>
                <w:sz w:val="16"/>
                <w:lang w:val="de-CH"/>
              </w:rPr>
              <w:t>,</w:t>
            </w:r>
            <w:r w:rsidRPr="00B235BF">
              <w:rPr>
                <w:rFonts w:ascii="Verdana" w:hAnsi="Verdana"/>
                <w:sz w:val="16"/>
                <w:lang w:val="de-CH"/>
              </w:rPr>
              <w:t xml:space="preserve"> durch Ausgabe von höchstens </w:t>
            </w:r>
            <w:r w:rsidRPr="002D6B69">
              <w:rPr>
                <w:rFonts w:ascii="Verdana" w:hAnsi="Verdana"/>
                <w:sz w:val="16"/>
                <w:szCs w:val="16"/>
                <w:lang w:val="de-CH"/>
              </w:rPr>
              <w:t>48'007'986</w:t>
            </w:r>
            <w:r w:rsidRPr="002D6B69">
              <w:rPr>
                <w:rFonts w:ascii="Verdana" w:hAnsi="Verdana"/>
                <w:sz w:val="16"/>
                <w:lang w:val="de-CH"/>
              </w:rPr>
              <w:t xml:space="preserve"> </w:t>
            </w:r>
            <w:r w:rsidRPr="00B235BF">
              <w:rPr>
                <w:rFonts w:ascii="Verdana" w:hAnsi="Verdana"/>
                <w:sz w:val="16"/>
                <w:lang w:val="de-CH"/>
              </w:rPr>
              <w:t>vollständig zu liberierenden Namenaktien</w:t>
            </w:r>
            <w:r>
              <w:rPr>
                <w:rFonts w:ascii="Verdana" w:hAnsi="Verdana"/>
                <w:sz w:val="16"/>
                <w:lang w:val="de-CH"/>
              </w:rPr>
              <w:t xml:space="preserve"> mit einem Nennwert von je CHF </w:t>
            </w:r>
            <w:r w:rsidRPr="00FC1E60">
              <w:rPr>
                <w:rFonts w:ascii="Verdana" w:hAnsi="Verdana"/>
                <w:sz w:val="16"/>
                <w:lang w:val="de-CH"/>
              </w:rPr>
              <w:t>0.01</w:t>
            </w:r>
            <w:r w:rsidRPr="00B235BF">
              <w:rPr>
                <w:rFonts w:ascii="Verdana" w:hAnsi="Verdana"/>
                <w:sz w:val="16"/>
                <w:lang w:val="de-CH"/>
              </w:rPr>
              <w:t xml:space="preserve"> um </w:t>
            </w:r>
            <w:r>
              <w:rPr>
                <w:rFonts w:ascii="Verdana" w:hAnsi="Verdana"/>
                <w:sz w:val="16"/>
                <w:lang w:val="de-CH"/>
              </w:rPr>
              <w:t xml:space="preserve">maximal </w:t>
            </w:r>
            <w:r w:rsidRPr="00B235BF">
              <w:rPr>
                <w:rFonts w:ascii="Verdana" w:hAnsi="Verdana"/>
                <w:sz w:val="16"/>
                <w:lang w:val="de-CH"/>
              </w:rPr>
              <w:t xml:space="preserve">CHF </w:t>
            </w:r>
            <w:r w:rsidRPr="002D6B69">
              <w:rPr>
                <w:rFonts w:ascii="Verdana" w:hAnsi="Verdana"/>
                <w:sz w:val="16"/>
                <w:szCs w:val="16"/>
                <w:lang w:val="de-CH"/>
              </w:rPr>
              <w:t>480'079.86</w:t>
            </w:r>
            <w:r w:rsidRPr="00B235BF">
              <w:rPr>
                <w:rFonts w:ascii="Verdana" w:hAnsi="Verdana"/>
                <w:sz w:val="16"/>
                <w:lang w:val="de-CH"/>
              </w:rPr>
              <w:t xml:space="preserve"> erhöht werden. </w:t>
            </w:r>
          </w:p>
        </w:tc>
        <w:tc>
          <w:tcPr>
            <w:tcW w:w="596" w:type="dxa"/>
            <w:vMerge w:val="restart"/>
          </w:tcPr>
          <w:p w14:paraId="1961C8DA" w14:textId="77777777" w:rsidR="00391819" w:rsidRPr="00AE643E" w:rsidRDefault="00391819" w:rsidP="00571C78">
            <w:pPr>
              <w:spacing w:before="60"/>
              <w:ind w:left="425" w:hanging="425"/>
              <w:jc w:val="both"/>
              <w:rPr>
                <w:rFonts w:ascii="Verdana" w:hAnsi="Verdana"/>
                <w:sz w:val="16"/>
                <w:lang w:val="de-CH"/>
              </w:rPr>
            </w:pPr>
          </w:p>
        </w:tc>
        <w:tc>
          <w:tcPr>
            <w:tcW w:w="5074" w:type="dxa"/>
          </w:tcPr>
          <w:p w14:paraId="11CAB419" w14:textId="73F5F6FE" w:rsidR="00391819" w:rsidRPr="003B35D7" w:rsidRDefault="00391819" w:rsidP="00C825D6">
            <w:pPr>
              <w:numPr>
                <w:ilvl w:val="0"/>
                <w:numId w:val="34"/>
              </w:numPr>
              <w:spacing w:before="60"/>
              <w:ind w:left="425" w:hanging="425"/>
              <w:jc w:val="both"/>
              <w:rPr>
                <w:rFonts w:ascii="Verdana" w:hAnsi="Verdana"/>
                <w:sz w:val="16"/>
                <w:lang w:val="en-US"/>
              </w:rPr>
            </w:pPr>
            <w:r w:rsidRPr="00AC3A88">
              <w:rPr>
                <w:rFonts w:ascii="Verdana" w:hAnsi="Verdana"/>
                <w:sz w:val="16"/>
                <w:lang w:val="en-US"/>
              </w:rPr>
              <w:t xml:space="preserve">The share capital of the Company may further be increased through the voluntary or mandatory exercise of </w:t>
            </w:r>
            <w:r w:rsidR="00D96E39" w:rsidRPr="00D96E39">
              <w:rPr>
                <w:rFonts w:ascii="Verdana" w:hAnsi="Verdana"/>
                <w:sz w:val="16"/>
                <w:lang w:val="en-US"/>
              </w:rPr>
              <w:t>conversion</w:t>
            </w:r>
            <w:r w:rsidR="005D1A87">
              <w:rPr>
                <w:rFonts w:ascii="Verdana" w:hAnsi="Verdana"/>
                <w:sz w:val="16"/>
                <w:lang w:val="en-US"/>
              </w:rPr>
              <w:t xml:space="preserve"> and/or option rights</w:t>
            </w:r>
            <w:r w:rsidR="00D96E39" w:rsidRPr="00D96E39">
              <w:rPr>
                <w:rFonts w:ascii="Verdana" w:hAnsi="Verdana"/>
                <w:sz w:val="16"/>
                <w:lang w:val="en-US"/>
              </w:rPr>
              <w:t xml:space="preserve"> granted</w:t>
            </w:r>
            <w:r w:rsidR="0032681B">
              <w:rPr>
                <w:rFonts w:ascii="Verdana" w:hAnsi="Verdana"/>
                <w:sz w:val="16"/>
                <w:lang w:val="en-US"/>
              </w:rPr>
              <w:t xml:space="preserve"> </w:t>
            </w:r>
            <w:r w:rsidR="00D96E39" w:rsidRPr="00D96E39">
              <w:rPr>
                <w:rFonts w:ascii="Verdana" w:hAnsi="Verdana"/>
                <w:sz w:val="16"/>
                <w:lang w:val="en-US"/>
              </w:rPr>
              <w:t>in connection with bonds</w:t>
            </w:r>
            <w:r w:rsidR="00EE2442">
              <w:rPr>
                <w:rFonts w:ascii="Verdana" w:hAnsi="Verdana"/>
                <w:sz w:val="16"/>
                <w:lang w:val="en-US"/>
              </w:rPr>
              <w:t xml:space="preserve"> or similar instruments, including loans</w:t>
            </w:r>
            <w:r w:rsidR="005D1A87">
              <w:rPr>
                <w:rFonts w:ascii="Verdana" w:hAnsi="Verdana"/>
                <w:sz w:val="16"/>
                <w:lang w:val="en-US"/>
              </w:rPr>
              <w:t xml:space="preserve"> or </w:t>
            </w:r>
            <w:r w:rsidR="00E0615F">
              <w:rPr>
                <w:rFonts w:ascii="Verdana" w:hAnsi="Verdana"/>
                <w:sz w:val="16"/>
                <w:lang w:val="en-US"/>
              </w:rPr>
              <w:t xml:space="preserve">other </w:t>
            </w:r>
            <w:r w:rsidR="00EE2442">
              <w:rPr>
                <w:rFonts w:ascii="Verdana" w:hAnsi="Verdana"/>
                <w:sz w:val="16"/>
                <w:lang w:val="en-US"/>
              </w:rPr>
              <w:t xml:space="preserve">financial instruments </w:t>
            </w:r>
            <w:r w:rsidR="00D96E39" w:rsidRPr="00D96E39">
              <w:rPr>
                <w:rFonts w:ascii="Verdana" w:hAnsi="Verdana"/>
                <w:sz w:val="16"/>
                <w:lang w:val="en-US"/>
              </w:rPr>
              <w:t xml:space="preserve">of the Company or </w:t>
            </w:r>
            <w:r w:rsidR="003C3173">
              <w:rPr>
                <w:rFonts w:ascii="Verdana" w:hAnsi="Verdana"/>
                <w:sz w:val="16"/>
                <w:lang w:val="en-US"/>
              </w:rPr>
              <w:t>its consolidated subsidiaries</w:t>
            </w:r>
            <w:r w:rsidR="00D96E39" w:rsidRPr="00D96E39" w:rsidDel="00D96E39">
              <w:rPr>
                <w:rFonts w:ascii="Verdana" w:hAnsi="Verdana"/>
                <w:sz w:val="16"/>
                <w:lang w:val="en-US"/>
              </w:rPr>
              <w:t xml:space="preserve"> </w:t>
            </w:r>
            <w:r w:rsidRPr="00AC3A88">
              <w:rPr>
                <w:rFonts w:ascii="Verdana" w:hAnsi="Verdana"/>
                <w:sz w:val="16"/>
                <w:lang w:val="en-US"/>
              </w:rPr>
              <w:t>(hereinafter collectively the "Equity-Linked Financing Instruments") by up to CHF</w:t>
            </w:r>
            <w:r>
              <w:rPr>
                <w:rFonts w:ascii="Verdana" w:hAnsi="Verdana"/>
                <w:sz w:val="16"/>
                <w:lang w:val="en-US"/>
              </w:rPr>
              <w:t> </w:t>
            </w:r>
            <w:r w:rsidRPr="00E27F33">
              <w:rPr>
                <w:rFonts w:ascii="Verdana" w:hAnsi="Verdana"/>
                <w:sz w:val="16"/>
                <w:szCs w:val="16"/>
                <w:lang w:val="en-US"/>
              </w:rPr>
              <w:t>480'079.86</w:t>
            </w:r>
            <w:r>
              <w:rPr>
                <w:rFonts w:ascii="Verdana" w:hAnsi="Verdana"/>
                <w:sz w:val="16"/>
                <w:lang w:val="en-US"/>
              </w:rPr>
              <w:t xml:space="preserve"> </w:t>
            </w:r>
            <w:r w:rsidRPr="00AC3A88">
              <w:rPr>
                <w:rFonts w:ascii="Verdana" w:hAnsi="Verdana"/>
                <w:sz w:val="16"/>
                <w:lang w:val="en-US"/>
              </w:rPr>
              <w:t xml:space="preserve">through the issuance of up to </w:t>
            </w:r>
            <w:r w:rsidRPr="002D6B69">
              <w:rPr>
                <w:rFonts w:ascii="Verdana" w:hAnsi="Verdana"/>
                <w:sz w:val="16"/>
                <w:szCs w:val="16"/>
                <w:lang w:val="en-US"/>
              </w:rPr>
              <w:t>48'007'986</w:t>
            </w:r>
            <w:r w:rsidRPr="00AC3A88">
              <w:rPr>
                <w:rFonts w:ascii="Verdana" w:hAnsi="Verdana"/>
                <w:sz w:val="16"/>
                <w:lang w:val="en-US"/>
              </w:rPr>
              <w:t xml:space="preserve"> fully-paid-up registered shares, ea</w:t>
            </w:r>
            <w:r>
              <w:rPr>
                <w:rFonts w:ascii="Verdana" w:hAnsi="Verdana"/>
                <w:sz w:val="16"/>
                <w:lang w:val="en-US"/>
              </w:rPr>
              <w:t>ch with a nominal value of CHF 0.01</w:t>
            </w:r>
            <w:r w:rsidRPr="00AC3A88">
              <w:rPr>
                <w:rFonts w:ascii="Verdana" w:hAnsi="Verdana"/>
                <w:sz w:val="16"/>
                <w:lang w:val="en-US"/>
              </w:rPr>
              <w:t>.</w:t>
            </w:r>
          </w:p>
        </w:tc>
      </w:tr>
      <w:tr w:rsidR="00391819" w:rsidRPr="00AE643E" w14:paraId="0C684FF4" w14:textId="77777777" w:rsidTr="00846CDA">
        <w:trPr>
          <w:trHeight w:val="416"/>
        </w:trPr>
        <w:tc>
          <w:tcPr>
            <w:tcW w:w="4962" w:type="dxa"/>
          </w:tcPr>
          <w:p w14:paraId="57898AAA" w14:textId="34F94007" w:rsidR="00391819" w:rsidRPr="009A7DC9" w:rsidRDefault="00391819" w:rsidP="00C825D6">
            <w:pPr>
              <w:numPr>
                <w:ilvl w:val="0"/>
                <w:numId w:val="19"/>
              </w:numPr>
              <w:spacing w:before="60"/>
              <w:ind w:left="425" w:hanging="425"/>
              <w:jc w:val="both"/>
              <w:rPr>
                <w:rFonts w:ascii="Verdana" w:hAnsi="Verdana"/>
                <w:sz w:val="16"/>
                <w:lang w:val="de-CH"/>
              </w:rPr>
            </w:pPr>
            <w:r w:rsidRPr="00AE643E">
              <w:rPr>
                <w:rFonts w:ascii="Verdana" w:hAnsi="Verdana"/>
                <w:sz w:val="16"/>
                <w:lang w:val="de-CH"/>
              </w:rPr>
              <w:t xml:space="preserve">Das Bezugsrecht der Aktionäre ist ausgeschlossen. </w:t>
            </w:r>
          </w:p>
        </w:tc>
        <w:tc>
          <w:tcPr>
            <w:tcW w:w="596" w:type="dxa"/>
            <w:vMerge/>
          </w:tcPr>
          <w:p w14:paraId="52998AE0" w14:textId="77777777" w:rsidR="00391819" w:rsidRPr="00AE643E" w:rsidRDefault="00391819" w:rsidP="00571C78">
            <w:pPr>
              <w:spacing w:before="60"/>
              <w:ind w:left="425" w:hanging="425"/>
              <w:jc w:val="both"/>
              <w:rPr>
                <w:rFonts w:ascii="Verdana" w:hAnsi="Verdana"/>
                <w:sz w:val="16"/>
                <w:lang w:val="de-CH"/>
              </w:rPr>
            </w:pPr>
          </w:p>
        </w:tc>
        <w:tc>
          <w:tcPr>
            <w:tcW w:w="5074" w:type="dxa"/>
          </w:tcPr>
          <w:p w14:paraId="67719B86" w14:textId="591A124D" w:rsidR="00391819" w:rsidRPr="003B35D7" w:rsidRDefault="00391819" w:rsidP="00C825D6">
            <w:pPr>
              <w:numPr>
                <w:ilvl w:val="0"/>
                <w:numId w:val="34"/>
              </w:numPr>
              <w:spacing w:before="60"/>
              <w:ind w:left="425" w:hanging="425"/>
              <w:jc w:val="both"/>
              <w:rPr>
                <w:rFonts w:ascii="Verdana" w:hAnsi="Verdana"/>
                <w:sz w:val="16"/>
                <w:lang w:val="en-US"/>
              </w:rPr>
            </w:pPr>
            <w:r w:rsidRPr="00AC3A88">
              <w:rPr>
                <w:rFonts w:ascii="Verdana" w:hAnsi="Verdana"/>
                <w:sz w:val="16"/>
                <w:lang w:val="en-US"/>
              </w:rPr>
              <w:t>Existing shareholders’ subscription rights shall be excluded.</w:t>
            </w:r>
            <w:r w:rsidR="00D96E39">
              <w:t xml:space="preserve"> </w:t>
            </w:r>
          </w:p>
        </w:tc>
      </w:tr>
      <w:tr w:rsidR="00391819" w:rsidRPr="00AE643E" w14:paraId="7BDE0033" w14:textId="77777777" w:rsidTr="00846CDA">
        <w:trPr>
          <w:trHeight w:val="383"/>
        </w:trPr>
        <w:tc>
          <w:tcPr>
            <w:tcW w:w="4962" w:type="dxa"/>
          </w:tcPr>
          <w:p w14:paraId="18D0092D" w14:textId="5097177A" w:rsidR="00391819" w:rsidRPr="009118C6" w:rsidRDefault="00391819" w:rsidP="00C825D6">
            <w:pPr>
              <w:numPr>
                <w:ilvl w:val="0"/>
                <w:numId w:val="19"/>
              </w:numPr>
              <w:spacing w:before="60"/>
              <w:ind w:left="425" w:hanging="425"/>
              <w:jc w:val="both"/>
              <w:rPr>
                <w:rFonts w:ascii="Verdana" w:hAnsi="Verdana"/>
                <w:sz w:val="16"/>
                <w:lang w:val="de-CH"/>
              </w:rPr>
            </w:pPr>
            <w:r w:rsidRPr="00AE643E">
              <w:rPr>
                <w:rFonts w:ascii="Verdana" w:hAnsi="Verdana"/>
                <w:sz w:val="16"/>
                <w:lang w:val="de-CH"/>
              </w:rPr>
              <w:lastRenderedPageBreak/>
              <w:t>Der Verwaltungsrat ist ermächtigt, bei der Ausgabe von aktiengebundenen Finanzierungsinstrumenten das Vorwegzeichnungsrecht der Aktionäre zu beschränken oder aufzuheben im Zusammenhang mit</w:t>
            </w:r>
            <w:r>
              <w:rPr>
                <w:rFonts w:ascii="Verdana" w:hAnsi="Verdana"/>
                <w:sz w:val="16"/>
                <w:lang w:val="de-CH"/>
              </w:rPr>
              <w:t>:</w:t>
            </w:r>
          </w:p>
        </w:tc>
        <w:tc>
          <w:tcPr>
            <w:tcW w:w="596" w:type="dxa"/>
            <w:vMerge/>
          </w:tcPr>
          <w:p w14:paraId="7FFCCC66" w14:textId="77777777" w:rsidR="00391819" w:rsidRPr="00AE643E" w:rsidRDefault="00391819" w:rsidP="00571C78">
            <w:pPr>
              <w:spacing w:before="60"/>
              <w:ind w:left="425" w:hanging="425"/>
              <w:jc w:val="both"/>
              <w:rPr>
                <w:rFonts w:ascii="Verdana" w:hAnsi="Verdana"/>
                <w:sz w:val="16"/>
                <w:lang w:val="de-CH"/>
              </w:rPr>
            </w:pPr>
          </w:p>
        </w:tc>
        <w:tc>
          <w:tcPr>
            <w:tcW w:w="5074" w:type="dxa"/>
          </w:tcPr>
          <w:p w14:paraId="203A6915" w14:textId="7A1E09D7" w:rsidR="00391819" w:rsidRPr="00BA3F12" w:rsidRDefault="00391819" w:rsidP="00C825D6">
            <w:pPr>
              <w:numPr>
                <w:ilvl w:val="0"/>
                <w:numId w:val="34"/>
              </w:numPr>
              <w:spacing w:before="60"/>
              <w:ind w:left="425" w:hanging="425"/>
              <w:jc w:val="both"/>
              <w:rPr>
                <w:rFonts w:ascii="Verdana" w:hAnsi="Verdana"/>
                <w:sz w:val="16"/>
                <w:lang w:val="en-US"/>
              </w:rPr>
            </w:pPr>
            <w:r w:rsidRPr="00AC3A88">
              <w:rPr>
                <w:rFonts w:ascii="Verdana" w:hAnsi="Verdana"/>
                <w:sz w:val="16"/>
                <w:lang w:val="en-US"/>
              </w:rPr>
              <w:t>The Board of Directors is authorized, when issuing Equity-Linked Financing Instruments, to restrict or cancel shareholders' advance subscription rights in connection with:</w:t>
            </w:r>
          </w:p>
        </w:tc>
      </w:tr>
      <w:tr w:rsidR="00391819" w:rsidRPr="00AE643E" w14:paraId="56F49474" w14:textId="77777777" w:rsidTr="00846CDA">
        <w:trPr>
          <w:trHeight w:val="382"/>
        </w:trPr>
        <w:tc>
          <w:tcPr>
            <w:tcW w:w="4962" w:type="dxa"/>
          </w:tcPr>
          <w:p w14:paraId="4F6C6160" w14:textId="06B5EB2D" w:rsidR="00391819" w:rsidRPr="009118C6" w:rsidRDefault="00391819" w:rsidP="00C825D6">
            <w:pPr>
              <w:pStyle w:val="ListParagraph"/>
              <w:numPr>
                <w:ilvl w:val="1"/>
                <w:numId w:val="66"/>
              </w:numPr>
              <w:spacing w:before="60"/>
              <w:ind w:left="913" w:hanging="357"/>
              <w:jc w:val="both"/>
              <w:rPr>
                <w:rFonts w:ascii="Verdana" w:hAnsi="Verdana"/>
                <w:sz w:val="16"/>
                <w:lang w:val="de-CH"/>
              </w:rPr>
            </w:pPr>
            <w:r w:rsidRPr="009118C6">
              <w:rPr>
                <w:rFonts w:ascii="Verdana" w:hAnsi="Verdana"/>
                <w:sz w:val="16"/>
                <w:lang w:val="de-CH"/>
              </w:rPr>
              <w:t>der Finanzierung (einschliesslich Refinanzierung) des Erwerbs von Unternehmen, Unternehmensteilen, Beteiligungen oder von neuen Investitionsvorhaben der Gesellschaft; oder</w:t>
            </w:r>
          </w:p>
        </w:tc>
        <w:tc>
          <w:tcPr>
            <w:tcW w:w="596" w:type="dxa"/>
            <w:vMerge/>
          </w:tcPr>
          <w:p w14:paraId="0BE08362" w14:textId="77777777" w:rsidR="00391819" w:rsidRPr="00AE643E" w:rsidRDefault="00391819" w:rsidP="00BA3F12">
            <w:pPr>
              <w:spacing w:before="60"/>
              <w:ind w:left="913" w:hanging="357"/>
              <w:jc w:val="both"/>
              <w:rPr>
                <w:rFonts w:ascii="Verdana" w:hAnsi="Verdana"/>
                <w:sz w:val="16"/>
                <w:lang w:val="de-CH"/>
              </w:rPr>
            </w:pPr>
          </w:p>
        </w:tc>
        <w:tc>
          <w:tcPr>
            <w:tcW w:w="5074" w:type="dxa"/>
          </w:tcPr>
          <w:p w14:paraId="3F1D0278" w14:textId="2F93786B" w:rsidR="00391819" w:rsidRPr="00BA3F12" w:rsidRDefault="00391819" w:rsidP="00C825D6">
            <w:pPr>
              <w:pStyle w:val="ListParagraph"/>
              <w:numPr>
                <w:ilvl w:val="1"/>
                <w:numId w:val="67"/>
              </w:numPr>
              <w:spacing w:before="60"/>
              <w:ind w:left="913" w:hanging="357"/>
              <w:jc w:val="both"/>
              <w:rPr>
                <w:rFonts w:ascii="Verdana" w:hAnsi="Verdana"/>
                <w:sz w:val="16"/>
                <w:lang w:val="en-US"/>
              </w:rPr>
            </w:pPr>
            <w:r w:rsidRPr="00BA3F12">
              <w:rPr>
                <w:rFonts w:ascii="Verdana" w:hAnsi="Verdana"/>
                <w:sz w:val="16"/>
                <w:lang w:val="en-US"/>
              </w:rPr>
              <w:t xml:space="preserve">the financing (including refinancing) of the acquisition of companies, parts of companies, </w:t>
            </w:r>
            <w:proofErr w:type="gramStart"/>
            <w:r w:rsidRPr="00BA3F12">
              <w:rPr>
                <w:rFonts w:ascii="Verdana" w:hAnsi="Verdana"/>
                <w:sz w:val="16"/>
                <w:lang w:val="en-US"/>
              </w:rPr>
              <w:t>participations</w:t>
            </w:r>
            <w:proofErr w:type="gramEnd"/>
            <w:r w:rsidRPr="00BA3F12">
              <w:rPr>
                <w:rFonts w:ascii="Verdana" w:hAnsi="Verdana"/>
                <w:sz w:val="16"/>
                <w:lang w:val="en-US"/>
              </w:rPr>
              <w:t xml:space="preserve"> or new investment projects of the Company; or</w:t>
            </w:r>
          </w:p>
        </w:tc>
      </w:tr>
      <w:tr w:rsidR="00391819" w:rsidRPr="00AE643E" w14:paraId="4D2B6F0B" w14:textId="77777777" w:rsidTr="00846CDA">
        <w:trPr>
          <w:trHeight w:val="382"/>
        </w:trPr>
        <w:tc>
          <w:tcPr>
            <w:tcW w:w="4962" w:type="dxa"/>
          </w:tcPr>
          <w:p w14:paraId="7FEFFE54" w14:textId="2BFC7300" w:rsidR="00391819" w:rsidRPr="009118C6" w:rsidRDefault="00391819" w:rsidP="00C825D6">
            <w:pPr>
              <w:pStyle w:val="ListParagraph"/>
              <w:numPr>
                <w:ilvl w:val="1"/>
                <w:numId w:val="66"/>
              </w:numPr>
              <w:spacing w:before="60"/>
              <w:ind w:left="913" w:hanging="357"/>
              <w:jc w:val="both"/>
              <w:rPr>
                <w:rFonts w:ascii="Verdana" w:hAnsi="Verdana"/>
                <w:sz w:val="16"/>
                <w:lang w:val="de-CH"/>
              </w:rPr>
            </w:pPr>
            <w:r w:rsidRPr="009118C6">
              <w:rPr>
                <w:rFonts w:ascii="Verdana" w:hAnsi="Verdana"/>
                <w:sz w:val="16"/>
                <w:lang w:val="de-CH"/>
              </w:rPr>
              <w:t>der Emission auf nationalen oder internationalen Kapitalmärkten oder der Ausgabe an einen oder mehrere strategische oder Finanz-Investoren.</w:t>
            </w:r>
          </w:p>
        </w:tc>
        <w:tc>
          <w:tcPr>
            <w:tcW w:w="596" w:type="dxa"/>
            <w:vMerge/>
          </w:tcPr>
          <w:p w14:paraId="34FCD4B4" w14:textId="77777777" w:rsidR="00391819" w:rsidRPr="00AE643E" w:rsidRDefault="00391819" w:rsidP="00BA3F12">
            <w:pPr>
              <w:spacing w:before="60"/>
              <w:ind w:left="913" w:hanging="357"/>
              <w:jc w:val="both"/>
              <w:rPr>
                <w:rFonts w:ascii="Verdana" w:hAnsi="Verdana"/>
                <w:sz w:val="16"/>
                <w:lang w:val="de-CH"/>
              </w:rPr>
            </w:pPr>
          </w:p>
        </w:tc>
        <w:tc>
          <w:tcPr>
            <w:tcW w:w="5074" w:type="dxa"/>
          </w:tcPr>
          <w:p w14:paraId="6278BE5A" w14:textId="4090050F" w:rsidR="00391819" w:rsidRPr="00BA3F12" w:rsidRDefault="00391819" w:rsidP="00C825D6">
            <w:pPr>
              <w:pStyle w:val="ListParagraph"/>
              <w:numPr>
                <w:ilvl w:val="1"/>
                <w:numId w:val="67"/>
              </w:numPr>
              <w:spacing w:before="60"/>
              <w:ind w:left="913" w:hanging="357"/>
              <w:jc w:val="both"/>
              <w:rPr>
                <w:rFonts w:ascii="Verdana" w:hAnsi="Verdana"/>
                <w:sz w:val="16"/>
                <w:lang w:val="en-US"/>
              </w:rPr>
            </w:pPr>
            <w:r w:rsidRPr="00BA3F12">
              <w:rPr>
                <w:rFonts w:ascii="Verdana" w:hAnsi="Verdana"/>
                <w:sz w:val="16"/>
                <w:lang w:val="en-US"/>
              </w:rPr>
              <w:t>an issue on national or international capital markets or to one or more strategical or financial investors.</w:t>
            </w:r>
          </w:p>
        </w:tc>
      </w:tr>
      <w:tr w:rsidR="00391819" w:rsidRPr="00AE643E" w14:paraId="00D201DC" w14:textId="77777777" w:rsidTr="00846CDA">
        <w:trPr>
          <w:trHeight w:val="359"/>
        </w:trPr>
        <w:tc>
          <w:tcPr>
            <w:tcW w:w="4962" w:type="dxa"/>
          </w:tcPr>
          <w:p w14:paraId="0EBA9FDD" w14:textId="55F90551" w:rsidR="00391819" w:rsidRPr="00075608" w:rsidRDefault="00391819" w:rsidP="00C825D6">
            <w:pPr>
              <w:numPr>
                <w:ilvl w:val="0"/>
                <w:numId w:val="19"/>
              </w:numPr>
              <w:spacing w:before="60"/>
              <w:ind w:left="425" w:hanging="425"/>
              <w:jc w:val="both"/>
              <w:rPr>
                <w:rFonts w:ascii="Verdana" w:hAnsi="Verdana"/>
                <w:sz w:val="16"/>
                <w:lang w:val="de-CH"/>
              </w:rPr>
            </w:pPr>
            <w:r>
              <w:rPr>
                <w:rFonts w:ascii="Verdana" w:hAnsi="Verdana"/>
                <w:sz w:val="16"/>
                <w:lang w:val="de-CH"/>
              </w:rPr>
              <w:t>Soweit das V</w:t>
            </w:r>
            <w:r w:rsidRPr="00134E99">
              <w:rPr>
                <w:rFonts w:ascii="Verdana" w:hAnsi="Verdana"/>
                <w:sz w:val="16"/>
                <w:lang w:val="de-CH"/>
              </w:rPr>
              <w:t>orwegzeichnungsrecht ausgeschlossen ist, sind</w:t>
            </w:r>
            <w:r>
              <w:rPr>
                <w:rFonts w:ascii="Verdana" w:hAnsi="Verdana"/>
                <w:sz w:val="16"/>
                <w:lang w:val="de-CH"/>
              </w:rPr>
              <w:t>:</w:t>
            </w:r>
          </w:p>
        </w:tc>
        <w:tc>
          <w:tcPr>
            <w:tcW w:w="596" w:type="dxa"/>
            <w:vMerge/>
          </w:tcPr>
          <w:p w14:paraId="2893942A" w14:textId="77777777" w:rsidR="00391819" w:rsidRPr="00AE643E" w:rsidRDefault="00391819" w:rsidP="00571C78">
            <w:pPr>
              <w:spacing w:before="60"/>
              <w:ind w:left="425" w:hanging="425"/>
              <w:jc w:val="both"/>
              <w:rPr>
                <w:rFonts w:ascii="Verdana" w:hAnsi="Verdana"/>
                <w:sz w:val="16"/>
                <w:lang w:val="de-CH"/>
              </w:rPr>
            </w:pPr>
          </w:p>
        </w:tc>
        <w:tc>
          <w:tcPr>
            <w:tcW w:w="5074" w:type="dxa"/>
          </w:tcPr>
          <w:p w14:paraId="40A7CF8C" w14:textId="63011108" w:rsidR="00391819" w:rsidRPr="00075608" w:rsidRDefault="00391819" w:rsidP="00C825D6">
            <w:pPr>
              <w:numPr>
                <w:ilvl w:val="0"/>
                <w:numId w:val="34"/>
              </w:numPr>
              <w:spacing w:before="60"/>
              <w:ind w:left="425" w:hanging="425"/>
              <w:jc w:val="both"/>
              <w:rPr>
                <w:rFonts w:ascii="Verdana" w:hAnsi="Verdana"/>
                <w:sz w:val="16"/>
                <w:lang w:val="en-US"/>
              </w:rPr>
            </w:pPr>
            <w:r w:rsidRPr="00AC3A88">
              <w:rPr>
                <w:rFonts w:ascii="Verdana" w:hAnsi="Verdana"/>
                <w:sz w:val="16"/>
                <w:lang w:val="en-US"/>
              </w:rPr>
              <w:t xml:space="preserve">Insofar as the right </w:t>
            </w:r>
            <w:proofErr w:type="gramStart"/>
            <w:r w:rsidRPr="00AC3A88">
              <w:rPr>
                <w:rFonts w:ascii="Verdana" w:hAnsi="Verdana"/>
                <w:sz w:val="16"/>
                <w:lang w:val="en-US"/>
              </w:rPr>
              <w:t>of</w:t>
            </w:r>
            <w:proofErr w:type="gramEnd"/>
            <w:r w:rsidRPr="00AC3A88">
              <w:rPr>
                <w:rFonts w:ascii="Verdana" w:hAnsi="Verdana"/>
                <w:sz w:val="16"/>
                <w:lang w:val="en-US"/>
              </w:rPr>
              <w:t xml:space="preserve"> advance subscription is excluded, the following conditions shall apply:</w:t>
            </w:r>
          </w:p>
        </w:tc>
      </w:tr>
      <w:tr w:rsidR="00391819" w:rsidRPr="00AE643E" w14:paraId="2B25D4B2" w14:textId="77777777" w:rsidTr="00846CDA">
        <w:trPr>
          <w:trHeight w:val="358"/>
        </w:trPr>
        <w:tc>
          <w:tcPr>
            <w:tcW w:w="4962" w:type="dxa"/>
          </w:tcPr>
          <w:p w14:paraId="65B57452" w14:textId="4408FE81" w:rsidR="00391819" w:rsidRPr="00075608" w:rsidRDefault="00740BB0" w:rsidP="00C825D6">
            <w:pPr>
              <w:pStyle w:val="ListParagraph"/>
              <w:numPr>
                <w:ilvl w:val="1"/>
                <w:numId w:val="68"/>
              </w:numPr>
              <w:spacing w:before="60"/>
              <w:ind w:left="913" w:hanging="357"/>
              <w:jc w:val="both"/>
              <w:rPr>
                <w:rFonts w:ascii="Verdana" w:hAnsi="Verdana"/>
                <w:sz w:val="16"/>
                <w:lang w:val="de-CH"/>
              </w:rPr>
            </w:pPr>
            <w:r w:rsidRPr="00075608">
              <w:rPr>
                <w:rFonts w:ascii="Verdana" w:hAnsi="Verdana"/>
                <w:sz w:val="16"/>
                <w:lang w:val="de-CH"/>
              </w:rPr>
              <w:t>die aktiengebundenen Finanzierungsinstrumente zu Marktbedingungen zu platzieren;</w:t>
            </w:r>
          </w:p>
        </w:tc>
        <w:tc>
          <w:tcPr>
            <w:tcW w:w="596" w:type="dxa"/>
            <w:vMerge/>
          </w:tcPr>
          <w:p w14:paraId="7D3C55C9" w14:textId="77777777" w:rsidR="00391819" w:rsidRPr="00AE643E" w:rsidRDefault="00391819" w:rsidP="00075608">
            <w:pPr>
              <w:spacing w:before="60"/>
              <w:ind w:left="913" w:hanging="357"/>
              <w:jc w:val="both"/>
              <w:rPr>
                <w:rFonts w:ascii="Verdana" w:hAnsi="Verdana"/>
                <w:sz w:val="16"/>
                <w:lang w:val="de-CH"/>
              </w:rPr>
            </w:pPr>
          </w:p>
        </w:tc>
        <w:tc>
          <w:tcPr>
            <w:tcW w:w="5074" w:type="dxa"/>
          </w:tcPr>
          <w:p w14:paraId="0EB404B9" w14:textId="170F54A1" w:rsidR="00391819" w:rsidRPr="00075608" w:rsidRDefault="00075608" w:rsidP="00C825D6">
            <w:pPr>
              <w:pStyle w:val="ListParagraph"/>
              <w:numPr>
                <w:ilvl w:val="1"/>
                <w:numId w:val="69"/>
              </w:numPr>
              <w:spacing w:before="60"/>
              <w:ind w:left="913" w:hanging="357"/>
              <w:jc w:val="both"/>
              <w:rPr>
                <w:rFonts w:ascii="Verdana" w:hAnsi="Verdana"/>
                <w:sz w:val="16"/>
                <w:lang w:val="en-US"/>
              </w:rPr>
            </w:pPr>
            <w:r w:rsidRPr="00075608">
              <w:rPr>
                <w:rFonts w:ascii="Verdana" w:hAnsi="Verdana"/>
                <w:sz w:val="16"/>
                <w:lang w:val="en-US"/>
              </w:rPr>
              <w:t xml:space="preserve">the Equity-Linked Financing Instruments are to be placed </w:t>
            </w:r>
            <w:proofErr w:type="gramStart"/>
            <w:r w:rsidRPr="00075608">
              <w:rPr>
                <w:rFonts w:ascii="Verdana" w:hAnsi="Verdana"/>
                <w:sz w:val="16"/>
                <w:lang w:val="en-US"/>
              </w:rPr>
              <w:t>at</w:t>
            </w:r>
            <w:proofErr w:type="gramEnd"/>
            <w:r w:rsidRPr="00075608">
              <w:rPr>
                <w:rFonts w:ascii="Verdana" w:hAnsi="Verdana"/>
                <w:sz w:val="16"/>
                <w:lang w:val="en-US"/>
              </w:rPr>
              <w:t xml:space="preserve"> market conditions;</w:t>
            </w:r>
          </w:p>
        </w:tc>
      </w:tr>
      <w:tr w:rsidR="00391819" w:rsidRPr="00AE643E" w14:paraId="48808B88" w14:textId="77777777" w:rsidTr="00846CDA">
        <w:trPr>
          <w:trHeight w:val="358"/>
        </w:trPr>
        <w:tc>
          <w:tcPr>
            <w:tcW w:w="4962" w:type="dxa"/>
          </w:tcPr>
          <w:p w14:paraId="655D7FF0" w14:textId="014D99D3" w:rsidR="00391819" w:rsidRPr="00075608" w:rsidRDefault="00391819" w:rsidP="00C825D6">
            <w:pPr>
              <w:pStyle w:val="ListParagraph"/>
              <w:numPr>
                <w:ilvl w:val="1"/>
                <w:numId w:val="68"/>
              </w:numPr>
              <w:spacing w:before="60"/>
              <w:ind w:left="913" w:hanging="357"/>
              <w:jc w:val="both"/>
              <w:rPr>
                <w:rFonts w:ascii="Verdana" w:hAnsi="Verdana"/>
                <w:sz w:val="16"/>
                <w:lang w:val="de-CH"/>
              </w:rPr>
            </w:pPr>
            <w:r w:rsidRPr="00075608">
              <w:rPr>
                <w:rFonts w:ascii="Verdana" w:hAnsi="Verdana"/>
                <w:sz w:val="16"/>
                <w:lang w:val="de-CH"/>
              </w:rPr>
              <w:t>die Ausübungsfrist der Wandelrechte auf höchstens zwanzig Jahre und jene der Optionsrechte auf höchstens zehn Jahre ab dem Zeitpunkt der Emission anzusetzen; und</w:t>
            </w:r>
          </w:p>
        </w:tc>
        <w:tc>
          <w:tcPr>
            <w:tcW w:w="596" w:type="dxa"/>
            <w:vMerge/>
          </w:tcPr>
          <w:p w14:paraId="4F01FAC5" w14:textId="77777777" w:rsidR="00391819" w:rsidRPr="00AE643E" w:rsidRDefault="00391819" w:rsidP="00075608">
            <w:pPr>
              <w:spacing w:before="60"/>
              <w:ind w:left="913" w:hanging="357"/>
              <w:jc w:val="both"/>
              <w:rPr>
                <w:rFonts w:ascii="Verdana" w:hAnsi="Verdana"/>
                <w:sz w:val="16"/>
                <w:lang w:val="de-CH"/>
              </w:rPr>
            </w:pPr>
          </w:p>
        </w:tc>
        <w:tc>
          <w:tcPr>
            <w:tcW w:w="5074" w:type="dxa"/>
          </w:tcPr>
          <w:p w14:paraId="19FE3694" w14:textId="2F7A5C5C" w:rsidR="00391819" w:rsidRPr="00075608" w:rsidRDefault="00075608" w:rsidP="00C825D6">
            <w:pPr>
              <w:pStyle w:val="ListParagraph"/>
              <w:numPr>
                <w:ilvl w:val="1"/>
                <w:numId w:val="69"/>
              </w:numPr>
              <w:spacing w:before="60"/>
              <w:ind w:left="913" w:hanging="357"/>
              <w:jc w:val="both"/>
              <w:rPr>
                <w:rFonts w:ascii="Verdana" w:hAnsi="Verdana"/>
                <w:sz w:val="16"/>
                <w:lang w:val="en-US"/>
              </w:rPr>
            </w:pPr>
            <w:r w:rsidRPr="00075608">
              <w:rPr>
                <w:rFonts w:ascii="Verdana" w:hAnsi="Verdana"/>
                <w:sz w:val="16"/>
                <w:lang w:val="en-US"/>
              </w:rPr>
              <w:t>the exercise period of the conversion rights is to be set at a maximum of 20 years and that of the option rights at a maximum of 10 years from the date of the issue; and</w:t>
            </w:r>
          </w:p>
        </w:tc>
      </w:tr>
      <w:tr w:rsidR="00391819" w:rsidRPr="00AE643E" w14:paraId="1A381AD5" w14:textId="77777777" w:rsidTr="00846CDA">
        <w:trPr>
          <w:trHeight w:val="358"/>
        </w:trPr>
        <w:tc>
          <w:tcPr>
            <w:tcW w:w="4962" w:type="dxa"/>
          </w:tcPr>
          <w:p w14:paraId="0675A9FD" w14:textId="6DBE6C4A" w:rsidR="00391819" w:rsidRPr="00075608" w:rsidRDefault="00391819" w:rsidP="00C825D6">
            <w:pPr>
              <w:pStyle w:val="ListParagraph"/>
              <w:numPr>
                <w:ilvl w:val="1"/>
                <w:numId w:val="68"/>
              </w:numPr>
              <w:spacing w:before="60"/>
              <w:ind w:left="913" w:hanging="357"/>
              <w:jc w:val="both"/>
              <w:rPr>
                <w:rFonts w:ascii="Verdana" w:hAnsi="Verdana"/>
                <w:sz w:val="16"/>
                <w:lang w:val="de-CH"/>
              </w:rPr>
            </w:pPr>
            <w:r w:rsidRPr="00075608">
              <w:rPr>
                <w:rFonts w:ascii="Verdana" w:hAnsi="Verdana"/>
                <w:sz w:val="16"/>
                <w:lang w:val="de-CH"/>
              </w:rPr>
              <w:t>der Wandel- oder Ausübungspreis oder die Berechnungsmethode eines solchen Preises für die neuen Aktien entsprechend den Marktbedingungen und -praxis im Zeitpunkt der Emission der aktiengebundenen Finanzierungsinstrumente oder der Ausgabe von neuen Aktien festzulegen.</w:t>
            </w:r>
          </w:p>
        </w:tc>
        <w:tc>
          <w:tcPr>
            <w:tcW w:w="596" w:type="dxa"/>
            <w:vMerge/>
          </w:tcPr>
          <w:p w14:paraId="6B07109F" w14:textId="77777777" w:rsidR="00391819" w:rsidRPr="00AE643E" w:rsidRDefault="00391819" w:rsidP="00075608">
            <w:pPr>
              <w:spacing w:before="60"/>
              <w:ind w:left="913" w:hanging="357"/>
              <w:jc w:val="both"/>
              <w:rPr>
                <w:rFonts w:ascii="Verdana" w:hAnsi="Verdana"/>
                <w:sz w:val="16"/>
                <w:lang w:val="de-CH"/>
              </w:rPr>
            </w:pPr>
          </w:p>
        </w:tc>
        <w:tc>
          <w:tcPr>
            <w:tcW w:w="5074" w:type="dxa"/>
          </w:tcPr>
          <w:p w14:paraId="09158912" w14:textId="0819C6B3" w:rsidR="00391819" w:rsidRPr="00075608" w:rsidRDefault="00075608" w:rsidP="00C825D6">
            <w:pPr>
              <w:pStyle w:val="ListParagraph"/>
              <w:numPr>
                <w:ilvl w:val="1"/>
                <w:numId w:val="69"/>
              </w:numPr>
              <w:spacing w:before="60"/>
              <w:ind w:left="913" w:hanging="357"/>
              <w:jc w:val="both"/>
              <w:rPr>
                <w:rFonts w:ascii="Verdana" w:hAnsi="Verdana"/>
                <w:sz w:val="16"/>
                <w:lang w:val="en-US"/>
              </w:rPr>
            </w:pPr>
            <w:r w:rsidRPr="00075608">
              <w:rPr>
                <w:rFonts w:ascii="Verdana" w:hAnsi="Verdana"/>
                <w:sz w:val="16"/>
                <w:lang w:val="en-US"/>
              </w:rPr>
              <w:t>the conversion or exercise price or the calculation methodology for such price for the new shares is to be set in line with market conditions and practice prevailing at the time of the issue of the Equity-Linked Financing Instruments or of the new shares.</w:t>
            </w:r>
          </w:p>
        </w:tc>
      </w:tr>
      <w:tr w:rsidR="00391819" w:rsidRPr="00AE643E" w14:paraId="617D3A33" w14:textId="77777777" w:rsidTr="00846CDA">
        <w:trPr>
          <w:trHeight w:val="690"/>
        </w:trPr>
        <w:tc>
          <w:tcPr>
            <w:tcW w:w="4962" w:type="dxa"/>
          </w:tcPr>
          <w:p w14:paraId="139DF9CA" w14:textId="611A853D" w:rsidR="00391819" w:rsidRPr="00400361" w:rsidRDefault="00391819" w:rsidP="00C825D6">
            <w:pPr>
              <w:numPr>
                <w:ilvl w:val="0"/>
                <w:numId w:val="19"/>
              </w:numPr>
              <w:spacing w:before="60"/>
              <w:ind w:left="425" w:hanging="425"/>
              <w:jc w:val="both"/>
              <w:rPr>
                <w:rFonts w:ascii="Verdana" w:hAnsi="Verdana"/>
                <w:sz w:val="16"/>
                <w:lang w:val="de-CH"/>
              </w:rPr>
            </w:pPr>
            <w:r w:rsidRPr="00A1421C">
              <w:rPr>
                <w:rFonts w:ascii="Verdana" w:hAnsi="Verdana"/>
                <w:sz w:val="16"/>
                <w:lang w:val="de-CH"/>
              </w:rPr>
              <w:t xml:space="preserve">Der Erwerb der Namenaktien durch die Ausübung von </w:t>
            </w:r>
            <w:r>
              <w:rPr>
                <w:rFonts w:ascii="Verdana" w:hAnsi="Verdana"/>
                <w:sz w:val="16"/>
                <w:lang w:val="de-CH"/>
              </w:rPr>
              <w:t xml:space="preserve">Wandel- und </w:t>
            </w:r>
            <w:r w:rsidRPr="00A1421C">
              <w:rPr>
                <w:rFonts w:ascii="Verdana" w:hAnsi="Verdana"/>
                <w:sz w:val="16"/>
                <w:lang w:val="de-CH"/>
              </w:rPr>
              <w:t>Option</w:t>
            </w:r>
            <w:r>
              <w:rPr>
                <w:rFonts w:ascii="Verdana" w:hAnsi="Verdana"/>
                <w:sz w:val="16"/>
                <w:lang w:val="de-CH"/>
              </w:rPr>
              <w:t>srecht</w:t>
            </w:r>
            <w:r w:rsidRPr="00A1421C">
              <w:rPr>
                <w:rFonts w:ascii="Verdana" w:hAnsi="Verdana"/>
                <w:sz w:val="16"/>
                <w:lang w:val="de-CH"/>
              </w:rPr>
              <w:t xml:space="preserve">en und die weitere Übertragung der Namenaktien unterliegen den </w:t>
            </w:r>
            <w:r>
              <w:rPr>
                <w:rFonts w:ascii="Verdana" w:hAnsi="Verdana"/>
                <w:sz w:val="16"/>
                <w:lang w:val="de-CH"/>
              </w:rPr>
              <w:t>Eintra</w:t>
            </w:r>
            <w:r w:rsidRPr="00A1421C">
              <w:rPr>
                <w:rFonts w:ascii="Verdana" w:hAnsi="Verdana"/>
                <w:sz w:val="16"/>
                <w:lang w:val="de-CH"/>
              </w:rPr>
              <w:t xml:space="preserve">gungsbeschränkungen gemäss Art. </w:t>
            </w:r>
            <w:r>
              <w:rPr>
                <w:rFonts w:ascii="Verdana" w:hAnsi="Verdana"/>
                <w:sz w:val="16"/>
                <w:lang w:val="de-CH"/>
              </w:rPr>
              <w:t>7</w:t>
            </w:r>
            <w:r w:rsidRPr="00A1421C">
              <w:rPr>
                <w:rFonts w:ascii="Verdana" w:hAnsi="Verdana"/>
                <w:sz w:val="16"/>
                <w:lang w:val="de-CH"/>
              </w:rPr>
              <w:t xml:space="preserve"> der Statuten.</w:t>
            </w:r>
          </w:p>
        </w:tc>
        <w:tc>
          <w:tcPr>
            <w:tcW w:w="596" w:type="dxa"/>
            <w:vMerge/>
          </w:tcPr>
          <w:p w14:paraId="2E847BF3" w14:textId="77777777" w:rsidR="00391819" w:rsidRPr="00AE643E" w:rsidRDefault="00391819" w:rsidP="00571C78">
            <w:pPr>
              <w:spacing w:before="60"/>
              <w:ind w:left="425" w:hanging="425"/>
              <w:jc w:val="both"/>
              <w:rPr>
                <w:rFonts w:ascii="Verdana" w:hAnsi="Verdana"/>
                <w:sz w:val="16"/>
                <w:lang w:val="de-CH"/>
              </w:rPr>
            </w:pPr>
          </w:p>
        </w:tc>
        <w:tc>
          <w:tcPr>
            <w:tcW w:w="5074" w:type="dxa"/>
          </w:tcPr>
          <w:p w14:paraId="2B93D5C9" w14:textId="2B7565E9" w:rsidR="00391819" w:rsidRPr="009A7DC9" w:rsidRDefault="00391819" w:rsidP="00C825D6">
            <w:pPr>
              <w:numPr>
                <w:ilvl w:val="0"/>
                <w:numId w:val="34"/>
              </w:numPr>
              <w:spacing w:before="60"/>
              <w:ind w:left="425" w:hanging="425"/>
              <w:jc w:val="both"/>
              <w:rPr>
                <w:rFonts w:ascii="Verdana" w:hAnsi="Verdana"/>
                <w:sz w:val="16"/>
                <w:lang w:val="en-US"/>
              </w:rPr>
            </w:pPr>
            <w:r w:rsidRPr="00AC3A88">
              <w:rPr>
                <w:rFonts w:ascii="Verdana" w:hAnsi="Verdana"/>
                <w:sz w:val="16"/>
                <w:lang w:val="en-US"/>
              </w:rPr>
              <w:t>The acquisition of registered shares by exercising conversion or option rights and the onward transfer of such registered shares are subject to the registration restrictions specified in Art</w:t>
            </w:r>
            <w:r>
              <w:rPr>
                <w:rFonts w:ascii="Verdana" w:hAnsi="Verdana"/>
                <w:sz w:val="16"/>
                <w:lang w:val="en-US"/>
              </w:rPr>
              <w:t>.</w:t>
            </w:r>
            <w:r w:rsidRPr="00AC3A88">
              <w:rPr>
                <w:rFonts w:ascii="Verdana" w:hAnsi="Verdana"/>
                <w:sz w:val="16"/>
                <w:lang w:val="en-US"/>
              </w:rPr>
              <w:t xml:space="preserve"> 7 </w:t>
            </w:r>
            <w:r w:rsidRPr="00B129A2">
              <w:rPr>
                <w:rFonts w:ascii="Verdana" w:hAnsi="Verdana"/>
                <w:sz w:val="16"/>
                <w:lang w:val="en-US"/>
              </w:rPr>
              <w:t>of these Articles of Association</w:t>
            </w:r>
            <w:r w:rsidRPr="00AC3A88">
              <w:rPr>
                <w:rFonts w:ascii="Verdana" w:hAnsi="Verdana"/>
                <w:sz w:val="16"/>
                <w:lang w:val="en-US"/>
              </w:rPr>
              <w:t>.</w:t>
            </w:r>
          </w:p>
        </w:tc>
      </w:tr>
      <w:tr w:rsidR="00391819" w:rsidRPr="00AE643E" w14:paraId="48BB88F6" w14:textId="77777777" w:rsidTr="00846CDA">
        <w:trPr>
          <w:trHeight w:val="690"/>
        </w:trPr>
        <w:tc>
          <w:tcPr>
            <w:tcW w:w="4962" w:type="dxa"/>
          </w:tcPr>
          <w:p w14:paraId="1C2EA53D" w14:textId="09050888" w:rsidR="00391819" w:rsidRPr="00400361" w:rsidRDefault="00391819" w:rsidP="00C825D6">
            <w:pPr>
              <w:numPr>
                <w:ilvl w:val="0"/>
                <w:numId w:val="19"/>
              </w:numPr>
              <w:spacing w:before="60"/>
              <w:ind w:left="425" w:hanging="425"/>
              <w:jc w:val="both"/>
              <w:rPr>
                <w:rFonts w:ascii="Verdana" w:hAnsi="Verdana"/>
                <w:sz w:val="16"/>
                <w:lang w:val="de-CH"/>
              </w:rPr>
            </w:pPr>
            <w:r w:rsidRPr="007D65A4">
              <w:rPr>
                <w:rFonts w:ascii="Verdana" w:hAnsi="Verdana"/>
                <w:sz w:val="16"/>
                <w:lang w:val="de-CH"/>
              </w:rPr>
              <w:t>Der Maximalbetrag des bedingten Aktienkapitals gemäss Abs. 1 dieses Artikels wird in dem Umfang reduziert, in dem der Verwaltungsrat gestützt auf Art. 6 dieser Statuten Namenaktien ausgibt.</w:t>
            </w:r>
            <w:r>
              <w:rPr>
                <w:rFonts w:ascii="Verdana" w:hAnsi="Verdana"/>
                <w:sz w:val="16"/>
                <w:lang w:val="de-CH"/>
              </w:rPr>
              <w:t xml:space="preserve"> </w:t>
            </w:r>
          </w:p>
        </w:tc>
        <w:tc>
          <w:tcPr>
            <w:tcW w:w="596" w:type="dxa"/>
            <w:vMerge/>
          </w:tcPr>
          <w:p w14:paraId="4485C3C4" w14:textId="77777777" w:rsidR="00391819" w:rsidRPr="00AE643E" w:rsidRDefault="00391819" w:rsidP="00571C78">
            <w:pPr>
              <w:spacing w:before="60"/>
              <w:ind w:left="425" w:hanging="425"/>
              <w:jc w:val="both"/>
              <w:rPr>
                <w:rFonts w:ascii="Verdana" w:hAnsi="Verdana"/>
                <w:sz w:val="16"/>
                <w:lang w:val="de-CH"/>
              </w:rPr>
            </w:pPr>
          </w:p>
        </w:tc>
        <w:tc>
          <w:tcPr>
            <w:tcW w:w="5074" w:type="dxa"/>
          </w:tcPr>
          <w:p w14:paraId="5AB40F4B" w14:textId="746F06CB" w:rsidR="00391819" w:rsidRPr="009A7DC9" w:rsidRDefault="00391819" w:rsidP="00C825D6">
            <w:pPr>
              <w:numPr>
                <w:ilvl w:val="0"/>
                <w:numId w:val="34"/>
              </w:numPr>
              <w:spacing w:before="60"/>
              <w:ind w:left="425" w:hanging="425"/>
              <w:jc w:val="both"/>
              <w:rPr>
                <w:rFonts w:ascii="Verdana" w:hAnsi="Verdana"/>
                <w:sz w:val="16"/>
                <w:lang w:val="en-US"/>
              </w:rPr>
            </w:pPr>
            <w:r>
              <w:rPr>
                <w:rFonts w:ascii="Verdana" w:hAnsi="Verdana"/>
                <w:sz w:val="16"/>
                <w:lang w:val="en-US"/>
              </w:rPr>
              <w:t xml:space="preserve">The maximum amount of the conditional share capital according to paragraph 1 of this article will be reduced by the amount for which the Board of Directors has issued registered shares based on Art. 6 of these articles. </w:t>
            </w:r>
          </w:p>
        </w:tc>
      </w:tr>
      <w:tr w:rsidR="00391819" w:rsidRPr="00AE643E" w14:paraId="7052461F" w14:textId="77777777" w:rsidTr="00846CDA">
        <w:trPr>
          <w:trHeight w:val="690"/>
        </w:trPr>
        <w:tc>
          <w:tcPr>
            <w:tcW w:w="4962" w:type="dxa"/>
          </w:tcPr>
          <w:p w14:paraId="5D82219A" w14:textId="32E8D967" w:rsidR="00391819" w:rsidRPr="00400361" w:rsidRDefault="00391819" w:rsidP="00C825D6">
            <w:pPr>
              <w:numPr>
                <w:ilvl w:val="0"/>
                <w:numId w:val="19"/>
              </w:numPr>
              <w:spacing w:before="60"/>
              <w:ind w:left="425" w:hanging="425"/>
              <w:jc w:val="both"/>
              <w:rPr>
                <w:rFonts w:ascii="Verdana" w:hAnsi="Verdana"/>
                <w:sz w:val="16"/>
                <w:lang w:val="de-CH"/>
              </w:rPr>
            </w:pPr>
            <w:r w:rsidRPr="006E755D">
              <w:rPr>
                <w:rFonts w:ascii="Verdana" w:hAnsi="Verdana"/>
                <w:sz w:val="16"/>
                <w:lang w:val="de-CH"/>
              </w:rPr>
              <w:t>Die Gesamtzahl der Namenaktien, welche (i)</w:t>
            </w:r>
            <w:r w:rsidR="00717A7C">
              <w:rPr>
                <w:rFonts w:ascii="Verdana" w:hAnsi="Verdana"/>
                <w:sz w:val="16"/>
                <w:lang w:val="de-CH"/>
              </w:rPr>
              <w:t> </w:t>
            </w:r>
            <w:r w:rsidRPr="006E755D">
              <w:rPr>
                <w:rFonts w:ascii="Verdana" w:hAnsi="Verdana"/>
                <w:sz w:val="16"/>
                <w:lang w:val="de-CH"/>
              </w:rPr>
              <w:t>aus bedingtem Aktienkapital gemäss diesem Art.</w:t>
            </w:r>
            <w:r w:rsidR="00F64B96">
              <w:rPr>
                <w:rFonts w:ascii="Verdana" w:hAnsi="Verdana"/>
                <w:sz w:val="16"/>
                <w:lang w:val="de-CH"/>
              </w:rPr>
              <w:t> </w:t>
            </w:r>
            <w:r w:rsidRPr="006E755D">
              <w:rPr>
                <w:rFonts w:ascii="Verdana" w:hAnsi="Verdana"/>
                <w:sz w:val="16"/>
                <w:lang w:val="de-CH"/>
              </w:rPr>
              <w:t>5 unter Ausschluss der Vorwegzeichnungsrechte der Aktionäre für aktiengebundene Finanzierungsinstrumente sowie (ii)</w:t>
            </w:r>
            <w:r w:rsidR="00717A7C">
              <w:rPr>
                <w:rFonts w:ascii="Verdana" w:hAnsi="Verdana"/>
                <w:sz w:val="16"/>
                <w:lang w:val="de-CH"/>
              </w:rPr>
              <w:t> </w:t>
            </w:r>
            <w:r w:rsidRPr="006E755D">
              <w:rPr>
                <w:rFonts w:ascii="Verdana" w:hAnsi="Verdana"/>
                <w:sz w:val="16"/>
                <w:lang w:val="de-CH"/>
              </w:rPr>
              <w:t xml:space="preserve">aus </w:t>
            </w:r>
            <w:r w:rsidR="006C6EA9">
              <w:rPr>
                <w:rFonts w:ascii="Verdana" w:hAnsi="Verdana"/>
                <w:sz w:val="16"/>
                <w:lang w:val="de-CH"/>
              </w:rPr>
              <w:t>dem Kapitalband</w:t>
            </w:r>
            <w:r w:rsidRPr="006E755D">
              <w:rPr>
                <w:rFonts w:ascii="Verdana" w:hAnsi="Verdana"/>
                <w:sz w:val="16"/>
                <w:lang w:val="de-CH"/>
              </w:rPr>
              <w:t xml:space="preserve"> gemäss Art. 6 der Statuten unter Ausschluss der Bezugsrechte der Aktionäre ausgegeben werden, darf </w:t>
            </w:r>
            <w:r w:rsidR="006A7693">
              <w:rPr>
                <w:rFonts w:ascii="Verdana" w:hAnsi="Verdana"/>
                <w:sz w:val="16"/>
                <w:lang w:val="de-CH"/>
              </w:rPr>
              <w:t xml:space="preserve">bis zum </w:t>
            </w:r>
            <w:r w:rsidR="00467912">
              <w:rPr>
                <w:rFonts w:ascii="Verdana" w:hAnsi="Verdana"/>
                <w:sz w:val="16"/>
                <w:lang w:val="de-CH"/>
              </w:rPr>
              <w:t>16</w:t>
            </w:r>
            <w:r w:rsidR="00BC783A">
              <w:rPr>
                <w:rFonts w:ascii="Verdana" w:hAnsi="Verdana"/>
                <w:sz w:val="16"/>
                <w:lang w:val="de-CH"/>
              </w:rPr>
              <w:t>.</w:t>
            </w:r>
            <w:r w:rsidR="00BC783A" w:rsidRPr="00013D7C">
              <w:rPr>
                <w:rFonts w:ascii="Verdana" w:hAnsi="Verdana"/>
                <w:sz w:val="16"/>
                <w:lang w:val="de-CH"/>
              </w:rPr>
              <w:t> April </w:t>
            </w:r>
            <w:r w:rsidR="00E53081" w:rsidRPr="002E691C">
              <w:rPr>
                <w:rFonts w:ascii="Verdana" w:hAnsi="Verdana"/>
                <w:sz w:val="16"/>
                <w:lang w:val="de-CH"/>
              </w:rPr>
              <w:t>20</w:t>
            </w:r>
            <w:r w:rsidR="00467912">
              <w:rPr>
                <w:rFonts w:ascii="Verdana" w:hAnsi="Verdana"/>
                <w:sz w:val="16"/>
                <w:lang w:val="de-CH"/>
              </w:rPr>
              <w:t>31</w:t>
            </w:r>
            <w:r w:rsidR="00BC783A" w:rsidRPr="00013D7C">
              <w:rPr>
                <w:rFonts w:ascii="Verdana" w:hAnsi="Verdana"/>
                <w:sz w:val="16"/>
                <w:lang w:val="de-CH"/>
              </w:rPr>
              <w:t xml:space="preserve"> </w:t>
            </w:r>
            <w:r w:rsidR="006A7693" w:rsidRPr="002E691C">
              <w:rPr>
                <w:rFonts w:ascii="Verdana" w:hAnsi="Verdana"/>
                <w:sz w:val="16"/>
                <w:lang w:val="de-CH"/>
              </w:rPr>
              <w:t>38'227'087</w:t>
            </w:r>
            <w:r w:rsidR="006A7693" w:rsidRPr="0026443F">
              <w:rPr>
                <w:rFonts w:ascii="Verdana" w:hAnsi="Verdana"/>
                <w:bCs/>
                <w:sz w:val="16"/>
                <w:lang w:val="de-CH"/>
              </w:rPr>
              <w:t xml:space="preserve"> </w:t>
            </w:r>
            <w:r w:rsidR="006A7693" w:rsidRPr="006A7693">
              <w:rPr>
                <w:rFonts w:ascii="Verdana" w:hAnsi="Verdana"/>
                <w:bCs/>
                <w:sz w:val="16"/>
                <w:lang w:val="de-CH"/>
              </w:rPr>
              <w:t xml:space="preserve">Namenaktien </w:t>
            </w:r>
            <w:r w:rsidRPr="006E755D">
              <w:rPr>
                <w:rFonts w:ascii="Verdana" w:hAnsi="Verdana"/>
                <w:sz w:val="16"/>
                <w:lang w:val="de-CH"/>
              </w:rPr>
              <w:t>nicht überschreiten.</w:t>
            </w:r>
          </w:p>
        </w:tc>
        <w:tc>
          <w:tcPr>
            <w:tcW w:w="596" w:type="dxa"/>
            <w:vMerge/>
          </w:tcPr>
          <w:p w14:paraId="645001C9" w14:textId="77777777" w:rsidR="00391819" w:rsidRPr="00AE643E" w:rsidRDefault="00391819" w:rsidP="00571C78">
            <w:pPr>
              <w:spacing w:before="60"/>
              <w:ind w:left="425" w:hanging="425"/>
              <w:jc w:val="both"/>
              <w:rPr>
                <w:rFonts w:ascii="Verdana" w:hAnsi="Verdana"/>
                <w:sz w:val="16"/>
                <w:lang w:val="de-CH"/>
              </w:rPr>
            </w:pPr>
          </w:p>
        </w:tc>
        <w:tc>
          <w:tcPr>
            <w:tcW w:w="5074" w:type="dxa"/>
          </w:tcPr>
          <w:p w14:paraId="6C616AFC" w14:textId="6FD2F4CB" w:rsidR="00391819" w:rsidRPr="009A7DC9" w:rsidRDefault="00391819" w:rsidP="00C825D6">
            <w:pPr>
              <w:numPr>
                <w:ilvl w:val="0"/>
                <w:numId w:val="34"/>
              </w:numPr>
              <w:spacing w:before="60"/>
              <w:ind w:left="425" w:hanging="425"/>
              <w:jc w:val="both"/>
              <w:rPr>
                <w:rFonts w:ascii="Verdana" w:hAnsi="Verdana"/>
                <w:sz w:val="16"/>
                <w:lang w:val="en-US"/>
              </w:rPr>
            </w:pPr>
            <w:r w:rsidRPr="006E755D">
              <w:rPr>
                <w:rFonts w:ascii="Verdana" w:hAnsi="Verdana"/>
                <w:sz w:val="16"/>
                <w:lang w:val="en-US"/>
              </w:rPr>
              <w:t>The total of registered shares issued from (</w:t>
            </w:r>
            <w:proofErr w:type="spellStart"/>
            <w:r w:rsidRPr="006E755D">
              <w:rPr>
                <w:rFonts w:ascii="Verdana" w:hAnsi="Verdana"/>
                <w:sz w:val="16"/>
                <w:lang w:val="en-US"/>
              </w:rPr>
              <w:t>i</w:t>
            </w:r>
            <w:proofErr w:type="spellEnd"/>
            <w:r w:rsidRPr="006E755D">
              <w:rPr>
                <w:rFonts w:ascii="Verdana" w:hAnsi="Verdana"/>
                <w:sz w:val="16"/>
                <w:lang w:val="en-US"/>
              </w:rPr>
              <w:t>)</w:t>
            </w:r>
            <w:r w:rsidR="00717A7C">
              <w:rPr>
                <w:rFonts w:ascii="Verdana" w:hAnsi="Verdana"/>
                <w:sz w:val="16"/>
                <w:lang w:val="en-US"/>
              </w:rPr>
              <w:t> </w:t>
            </w:r>
            <w:r w:rsidRPr="006E755D">
              <w:rPr>
                <w:rFonts w:ascii="Verdana" w:hAnsi="Verdana"/>
                <w:sz w:val="16"/>
                <w:lang w:val="en-US"/>
              </w:rPr>
              <w:t>the conditional share capital according to this Art.</w:t>
            </w:r>
            <w:r w:rsidR="00F64B96">
              <w:rPr>
                <w:rFonts w:ascii="Verdana" w:hAnsi="Verdana"/>
                <w:sz w:val="16"/>
                <w:lang w:val="en-US"/>
              </w:rPr>
              <w:t> </w:t>
            </w:r>
            <w:r w:rsidRPr="006E755D">
              <w:rPr>
                <w:rFonts w:ascii="Verdana" w:hAnsi="Verdana"/>
                <w:sz w:val="16"/>
                <w:lang w:val="en-US"/>
              </w:rPr>
              <w:t xml:space="preserve">5 where the shareholders' advance subscription rights </w:t>
            </w:r>
            <w:r w:rsidR="008D7044">
              <w:rPr>
                <w:rFonts w:ascii="Verdana" w:hAnsi="Verdana"/>
                <w:sz w:val="16"/>
                <w:lang w:val="en-US"/>
              </w:rPr>
              <w:t>for</w:t>
            </w:r>
            <w:r w:rsidR="008D7044" w:rsidRPr="006E755D">
              <w:rPr>
                <w:rFonts w:ascii="Verdana" w:hAnsi="Verdana"/>
                <w:sz w:val="16"/>
                <w:lang w:val="en-US"/>
              </w:rPr>
              <w:t xml:space="preserve"> </w:t>
            </w:r>
            <w:r w:rsidRPr="006E755D">
              <w:rPr>
                <w:rFonts w:ascii="Verdana" w:hAnsi="Verdana"/>
                <w:sz w:val="16"/>
                <w:lang w:val="en-US"/>
              </w:rPr>
              <w:t xml:space="preserve">Equity-Linked Financing Instruments </w:t>
            </w:r>
            <w:r w:rsidR="00C9696C">
              <w:rPr>
                <w:rFonts w:ascii="Verdana" w:hAnsi="Verdana"/>
                <w:sz w:val="16"/>
                <w:lang w:val="en-US"/>
              </w:rPr>
              <w:t>are</w:t>
            </w:r>
            <w:r w:rsidR="00C9696C" w:rsidRPr="006E755D">
              <w:rPr>
                <w:rFonts w:ascii="Verdana" w:hAnsi="Verdana"/>
                <w:sz w:val="16"/>
                <w:lang w:val="en-US"/>
              </w:rPr>
              <w:t xml:space="preserve"> </w:t>
            </w:r>
            <w:r w:rsidRPr="006E755D">
              <w:rPr>
                <w:rFonts w:ascii="Verdana" w:hAnsi="Verdana"/>
                <w:sz w:val="16"/>
                <w:lang w:val="en-US"/>
              </w:rPr>
              <w:t xml:space="preserve">excluded and (ii) the </w:t>
            </w:r>
            <w:r w:rsidR="006A7693">
              <w:rPr>
                <w:rFonts w:ascii="Verdana" w:hAnsi="Verdana"/>
                <w:sz w:val="16"/>
                <w:lang w:val="en-US"/>
              </w:rPr>
              <w:t>capital band</w:t>
            </w:r>
            <w:r w:rsidRPr="006E755D">
              <w:rPr>
                <w:rFonts w:ascii="Verdana" w:hAnsi="Verdana"/>
                <w:sz w:val="16"/>
                <w:lang w:val="en-US"/>
              </w:rPr>
              <w:t xml:space="preserve"> according to Art. 6 where the shareholders' subscription rights </w:t>
            </w:r>
            <w:r w:rsidR="00C9696C">
              <w:rPr>
                <w:rFonts w:ascii="Verdana" w:hAnsi="Verdana"/>
                <w:sz w:val="16"/>
                <w:lang w:val="en-US"/>
              </w:rPr>
              <w:t>are</w:t>
            </w:r>
            <w:r w:rsidR="00C9696C" w:rsidRPr="006E755D">
              <w:rPr>
                <w:rFonts w:ascii="Verdana" w:hAnsi="Verdana"/>
                <w:sz w:val="16"/>
                <w:lang w:val="en-US"/>
              </w:rPr>
              <w:t xml:space="preserve"> </w:t>
            </w:r>
            <w:r w:rsidRPr="006E755D">
              <w:rPr>
                <w:rFonts w:ascii="Verdana" w:hAnsi="Verdana"/>
                <w:sz w:val="16"/>
                <w:lang w:val="en-US"/>
              </w:rPr>
              <w:t xml:space="preserve">excluded may not exceed </w:t>
            </w:r>
            <w:r w:rsidR="006A7693" w:rsidRPr="002E691C">
              <w:rPr>
                <w:rFonts w:ascii="Verdana" w:hAnsi="Verdana"/>
                <w:sz w:val="16"/>
                <w:lang w:val="en-US"/>
              </w:rPr>
              <w:t>38'227'087</w:t>
            </w:r>
            <w:r w:rsidR="006A7693" w:rsidRPr="002C3320">
              <w:rPr>
                <w:rFonts w:ascii="Verdana" w:hAnsi="Verdana"/>
                <w:bCs/>
                <w:sz w:val="16"/>
                <w:lang w:val="en-US"/>
              </w:rPr>
              <w:t xml:space="preserve"> </w:t>
            </w:r>
            <w:r w:rsidR="006A7693">
              <w:rPr>
                <w:rFonts w:ascii="Verdana" w:hAnsi="Verdana"/>
                <w:sz w:val="16"/>
                <w:lang w:val="en-US"/>
              </w:rPr>
              <w:t>s</w:t>
            </w:r>
            <w:r w:rsidRPr="006E755D">
              <w:rPr>
                <w:rFonts w:ascii="Verdana" w:hAnsi="Verdana"/>
                <w:sz w:val="16"/>
                <w:lang w:val="en-US"/>
              </w:rPr>
              <w:t xml:space="preserve">hares up to </w:t>
            </w:r>
            <w:r w:rsidR="00467912">
              <w:rPr>
                <w:rFonts w:ascii="Verdana" w:hAnsi="Verdana"/>
                <w:sz w:val="16"/>
                <w:lang w:val="en-US"/>
              </w:rPr>
              <w:t>16</w:t>
            </w:r>
            <w:r w:rsidR="006A7693" w:rsidRPr="006A7693">
              <w:rPr>
                <w:rFonts w:ascii="Verdana" w:hAnsi="Verdana"/>
                <w:sz w:val="16"/>
                <w:lang w:val="en-US"/>
              </w:rPr>
              <w:t xml:space="preserve"> April </w:t>
            </w:r>
            <w:r w:rsidR="0026443F" w:rsidRPr="002E691C">
              <w:rPr>
                <w:rFonts w:ascii="Verdana" w:hAnsi="Verdana"/>
                <w:sz w:val="16"/>
                <w:lang w:val="en-US"/>
              </w:rPr>
              <w:t>20</w:t>
            </w:r>
            <w:r w:rsidR="00467912">
              <w:rPr>
                <w:rFonts w:ascii="Verdana" w:hAnsi="Verdana"/>
                <w:sz w:val="16"/>
                <w:lang w:val="en-US"/>
              </w:rPr>
              <w:t>31</w:t>
            </w:r>
            <w:r w:rsidRPr="006E755D">
              <w:rPr>
                <w:rFonts w:ascii="Verdana" w:hAnsi="Verdana"/>
                <w:sz w:val="16"/>
                <w:lang w:val="en-US"/>
              </w:rPr>
              <w:t>.</w:t>
            </w:r>
          </w:p>
        </w:tc>
      </w:tr>
      <w:tr w:rsidR="002F537E" w:rsidRPr="00BA0AF1" w14:paraId="3DAFAB61" w14:textId="77777777" w:rsidTr="00846CDA">
        <w:tc>
          <w:tcPr>
            <w:tcW w:w="4962" w:type="dxa"/>
          </w:tcPr>
          <w:p w14:paraId="78B61C5B" w14:textId="77777777" w:rsidR="002F537E" w:rsidRPr="006C6EA9" w:rsidRDefault="002F537E" w:rsidP="002F537E">
            <w:pPr>
              <w:jc w:val="center"/>
              <w:rPr>
                <w:rFonts w:ascii="Verdana" w:hAnsi="Verdana"/>
                <w:b/>
                <w:sz w:val="16"/>
                <w:lang w:val="en-US"/>
              </w:rPr>
            </w:pPr>
          </w:p>
          <w:p w14:paraId="7D6AD939" w14:textId="649C5C17" w:rsidR="002F537E" w:rsidRPr="006C6EA9" w:rsidRDefault="002F537E" w:rsidP="002F537E">
            <w:pPr>
              <w:jc w:val="center"/>
              <w:rPr>
                <w:rFonts w:ascii="Verdana" w:hAnsi="Verdana"/>
                <w:b/>
                <w:sz w:val="16"/>
                <w:lang w:val="de-CH"/>
              </w:rPr>
            </w:pPr>
            <w:r w:rsidRPr="006C6EA9">
              <w:rPr>
                <w:rFonts w:ascii="Verdana" w:hAnsi="Verdana"/>
                <w:b/>
                <w:sz w:val="16"/>
                <w:lang w:val="de-CH"/>
              </w:rPr>
              <w:t>Art. 6</w:t>
            </w:r>
          </w:p>
          <w:p w14:paraId="09E8B3E8" w14:textId="071C5DD1" w:rsidR="002F537E" w:rsidRPr="006C6EA9" w:rsidRDefault="002F537E" w:rsidP="002F537E">
            <w:pPr>
              <w:jc w:val="center"/>
              <w:rPr>
                <w:rFonts w:ascii="Verdana" w:hAnsi="Verdana"/>
                <w:b/>
                <w:sz w:val="16"/>
                <w:lang w:val="en-US"/>
              </w:rPr>
            </w:pPr>
            <w:r w:rsidRPr="006C6EA9">
              <w:rPr>
                <w:rFonts w:ascii="Verdana" w:hAnsi="Verdana"/>
                <w:b/>
                <w:sz w:val="16"/>
                <w:lang w:val="de-CH"/>
              </w:rPr>
              <w:t>Kapitalband</w:t>
            </w:r>
          </w:p>
        </w:tc>
        <w:tc>
          <w:tcPr>
            <w:tcW w:w="596" w:type="dxa"/>
          </w:tcPr>
          <w:p w14:paraId="3F4A9490" w14:textId="77777777" w:rsidR="002F537E" w:rsidRPr="006C6EA9" w:rsidRDefault="002F537E" w:rsidP="002F537E">
            <w:pPr>
              <w:jc w:val="center"/>
              <w:rPr>
                <w:rFonts w:ascii="Verdana" w:hAnsi="Verdana"/>
                <w:sz w:val="16"/>
                <w:lang w:val="de-DE"/>
              </w:rPr>
            </w:pPr>
          </w:p>
        </w:tc>
        <w:tc>
          <w:tcPr>
            <w:tcW w:w="5074" w:type="dxa"/>
          </w:tcPr>
          <w:p w14:paraId="6647C303" w14:textId="77777777" w:rsidR="002F537E" w:rsidRPr="006C6EA9" w:rsidRDefault="002F537E" w:rsidP="002F537E">
            <w:pPr>
              <w:jc w:val="center"/>
              <w:rPr>
                <w:rFonts w:ascii="Verdana" w:hAnsi="Verdana"/>
                <w:b/>
                <w:sz w:val="16"/>
                <w:lang w:val="de-CH"/>
              </w:rPr>
            </w:pPr>
          </w:p>
          <w:p w14:paraId="6A112ABF" w14:textId="7316ECDC" w:rsidR="002F537E" w:rsidRPr="006C6EA9" w:rsidRDefault="002F537E" w:rsidP="002F537E">
            <w:pPr>
              <w:jc w:val="center"/>
              <w:rPr>
                <w:rFonts w:ascii="Verdana" w:hAnsi="Verdana"/>
                <w:b/>
                <w:sz w:val="16"/>
                <w:lang w:val="en-US"/>
              </w:rPr>
            </w:pPr>
            <w:r w:rsidRPr="006C6EA9">
              <w:rPr>
                <w:rFonts w:ascii="Verdana" w:hAnsi="Verdana"/>
                <w:b/>
                <w:sz w:val="16"/>
                <w:lang w:val="en-US"/>
              </w:rPr>
              <w:t>Art. 6</w:t>
            </w:r>
          </w:p>
          <w:p w14:paraId="2FA1C75E" w14:textId="77777777" w:rsidR="002F537E" w:rsidRPr="006C6EA9" w:rsidRDefault="002F537E" w:rsidP="002F537E">
            <w:pPr>
              <w:jc w:val="center"/>
              <w:rPr>
                <w:rFonts w:ascii="Verdana" w:hAnsi="Verdana"/>
                <w:b/>
                <w:sz w:val="16"/>
                <w:lang w:val="en-US"/>
              </w:rPr>
            </w:pPr>
            <w:r w:rsidRPr="006C6EA9">
              <w:rPr>
                <w:rFonts w:ascii="Verdana" w:hAnsi="Verdana"/>
                <w:b/>
                <w:sz w:val="16"/>
                <w:lang w:val="en-US"/>
              </w:rPr>
              <w:t>Capital Band</w:t>
            </w:r>
          </w:p>
          <w:p w14:paraId="2B322484" w14:textId="77777777" w:rsidR="002F537E" w:rsidRPr="006C6EA9" w:rsidRDefault="002F537E" w:rsidP="002F537E">
            <w:pPr>
              <w:jc w:val="center"/>
              <w:rPr>
                <w:rFonts w:ascii="Verdana" w:hAnsi="Verdana"/>
                <w:b/>
                <w:bCs/>
                <w:sz w:val="16"/>
                <w:lang w:val="en-US"/>
              </w:rPr>
            </w:pPr>
          </w:p>
        </w:tc>
      </w:tr>
      <w:tr w:rsidR="002F537E" w:rsidRPr="00BA0AF1" w14:paraId="4E831CE7" w14:textId="77777777" w:rsidTr="00846CDA">
        <w:tc>
          <w:tcPr>
            <w:tcW w:w="4962" w:type="dxa"/>
          </w:tcPr>
          <w:p w14:paraId="68E44670" w14:textId="7E90FDC8" w:rsidR="002F537E" w:rsidRPr="00013D7C" w:rsidRDefault="002F537E" w:rsidP="00C825D6">
            <w:pPr>
              <w:pStyle w:val="ListParagraph"/>
              <w:numPr>
                <w:ilvl w:val="0"/>
                <w:numId w:val="70"/>
              </w:numPr>
              <w:spacing w:before="60"/>
              <w:ind w:left="351"/>
              <w:jc w:val="both"/>
              <w:rPr>
                <w:rFonts w:ascii="Verdana" w:hAnsi="Verdana"/>
                <w:b/>
                <w:sz w:val="16"/>
                <w:lang w:val="de-CH"/>
              </w:rPr>
            </w:pPr>
            <w:r w:rsidRPr="00013D7C">
              <w:rPr>
                <w:rFonts w:ascii="Verdana" w:hAnsi="Verdana"/>
                <w:sz w:val="16"/>
                <w:lang w:val="de-CH"/>
              </w:rPr>
              <w:t>Die Gesellschaft verfügt über ein Kapitalband zwischen CHF </w:t>
            </w:r>
            <w:r w:rsidR="0082633E" w:rsidRPr="002E691C">
              <w:rPr>
                <w:rFonts w:ascii="Verdana" w:hAnsi="Verdana"/>
                <w:sz w:val="16"/>
                <w:lang w:val="de-CH"/>
              </w:rPr>
              <w:t>3'440'437.85</w:t>
            </w:r>
            <w:r w:rsidRPr="002E691C">
              <w:rPr>
                <w:rFonts w:ascii="Verdana" w:hAnsi="Verdana"/>
                <w:sz w:val="16"/>
                <w:lang w:val="de-CH"/>
              </w:rPr>
              <w:t xml:space="preserve"> (untere Grenze) und CHF</w:t>
            </w:r>
            <w:r w:rsidR="00F97699" w:rsidRPr="002E691C">
              <w:rPr>
                <w:rFonts w:ascii="Verdana" w:hAnsi="Verdana"/>
                <w:sz w:val="16"/>
                <w:lang w:val="de-CH"/>
              </w:rPr>
              <w:t> </w:t>
            </w:r>
            <w:r w:rsidR="003451FF" w:rsidRPr="002E691C">
              <w:rPr>
                <w:rFonts w:ascii="Verdana" w:hAnsi="Verdana"/>
                <w:sz w:val="16"/>
                <w:lang w:val="de-CH"/>
              </w:rPr>
              <w:t>4'587</w:t>
            </w:r>
            <w:r w:rsidR="003B7A61" w:rsidRPr="002E691C">
              <w:rPr>
                <w:rFonts w:ascii="Verdana" w:hAnsi="Verdana"/>
                <w:sz w:val="16"/>
                <w:lang w:val="de-CH"/>
              </w:rPr>
              <w:t>'</w:t>
            </w:r>
            <w:r w:rsidR="003451FF" w:rsidRPr="002E691C">
              <w:rPr>
                <w:rFonts w:ascii="Verdana" w:hAnsi="Verdana"/>
                <w:sz w:val="16"/>
                <w:lang w:val="de-CH"/>
              </w:rPr>
              <w:t>250.46</w:t>
            </w:r>
            <w:r w:rsidRPr="00013D7C">
              <w:rPr>
                <w:rFonts w:ascii="Verdana" w:hAnsi="Verdana"/>
                <w:sz w:val="16"/>
                <w:lang w:val="de-CH"/>
              </w:rPr>
              <w:t xml:space="preserve"> (obere Grenze). Der Verwaltungsrat ist im Rahmen des Kapitalbands ermächtigt, bis zum </w:t>
            </w:r>
            <w:r w:rsidR="00317A7F">
              <w:rPr>
                <w:rFonts w:ascii="Verdana" w:hAnsi="Verdana"/>
                <w:sz w:val="16"/>
                <w:lang w:val="de-CH"/>
              </w:rPr>
              <w:t>16</w:t>
            </w:r>
            <w:r w:rsidR="00F97699">
              <w:rPr>
                <w:rFonts w:ascii="Verdana" w:hAnsi="Verdana"/>
                <w:sz w:val="16"/>
                <w:lang w:val="de-CH"/>
              </w:rPr>
              <w:t>.</w:t>
            </w:r>
            <w:r w:rsidRPr="00013D7C">
              <w:rPr>
                <w:rFonts w:ascii="Verdana" w:hAnsi="Verdana"/>
                <w:sz w:val="16"/>
                <w:lang w:val="de-CH"/>
              </w:rPr>
              <w:t> April</w:t>
            </w:r>
            <w:r w:rsidR="002E691C">
              <w:rPr>
                <w:rFonts w:ascii="Verdana" w:hAnsi="Verdana"/>
                <w:sz w:val="16"/>
                <w:lang w:val="de-CH"/>
              </w:rPr>
              <w:t> </w:t>
            </w:r>
            <w:r w:rsidR="005D382D" w:rsidRPr="002E691C">
              <w:rPr>
                <w:rFonts w:ascii="Verdana" w:hAnsi="Verdana"/>
                <w:sz w:val="16"/>
                <w:lang w:val="de-CH"/>
              </w:rPr>
              <w:t>20</w:t>
            </w:r>
            <w:r w:rsidR="00317A7F">
              <w:rPr>
                <w:rFonts w:ascii="Verdana" w:hAnsi="Verdana"/>
                <w:sz w:val="16"/>
                <w:lang w:val="de-CH"/>
              </w:rPr>
              <w:t>31</w:t>
            </w:r>
            <w:r w:rsidRPr="00013D7C">
              <w:rPr>
                <w:rFonts w:ascii="Verdana" w:hAnsi="Verdana"/>
                <w:sz w:val="16"/>
                <w:lang w:val="de-CH"/>
              </w:rPr>
              <w:t xml:space="preserve"> oder der vollständigen Ausschöpfung des Kapitalbands das Aktienkapital jederzeit oder von Zeit zu Zeit und in beliebigen (Teil</w:t>
            </w:r>
            <w:r w:rsidR="007A7D25">
              <w:rPr>
                <w:rFonts w:ascii="Verdana" w:hAnsi="Verdana"/>
                <w:sz w:val="16"/>
                <w:lang w:val="de-CH"/>
              </w:rPr>
              <w:t>-</w:t>
            </w:r>
            <w:r w:rsidRPr="00013D7C">
              <w:rPr>
                <w:rFonts w:ascii="Verdana" w:hAnsi="Verdana"/>
                <w:sz w:val="16"/>
                <w:lang w:val="de-CH"/>
              </w:rPr>
              <w:t>)</w:t>
            </w:r>
            <w:proofErr w:type="spellStart"/>
            <w:r w:rsidRPr="00013D7C">
              <w:rPr>
                <w:rFonts w:ascii="Verdana" w:hAnsi="Verdana"/>
                <w:sz w:val="16"/>
                <w:lang w:val="de-CH"/>
              </w:rPr>
              <w:t>beträgen</w:t>
            </w:r>
            <w:proofErr w:type="spellEnd"/>
            <w:r w:rsidRPr="00013D7C">
              <w:rPr>
                <w:rFonts w:ascii="Verdana" w:hAnsi="Verdana"/>
                <w:sz w:val="16"/>
                <w:lang w:val="de-CH"/>
              </w:rPr>
              <w:t xml:space="preserve"> zu erhöhen oder herabzusetzen oder die Gesellschaft oder eine ihrer Konzerngesellschaften zu veranlassen, direkt oder indirekt Aktien zu erwerben (einschliesslich im Rahmen von Rückkaufsprogrammen). </w:t>
            </w:r>
            <w:r w:rsidR="00D94D91">
              <w:rPr>
                <w:rFonts w:ascii="Verdana" w:hAnsi="Verdana"/>
                <w:sz w:val="16"/>
                <w:lang w:val="de-CH"/>
              </w:rPr>
              <w:t>Eine</w:t>
            </w:r>
            <w:r w:rsidRPr="00013D7C">
              <w:rPr>
                <w:rFonts w:ascii="Verdana" w:hAnsi="Verdana"/>
                <w:sz w:val="16"/>
                <w:lang w:val="de-CH"/>
              </w:rPr>
              <w:t xml:space="preserve"> Kapitalerhöhung kann durch Ausgabe von bis zu </w:t>
            </w:r>
            <w:r w:rsidR="003451FF" w:rsidRPr="002E691C">
              <w:rPr>
                <w:rFonts w:ascii="Verdana" w:hAnsi="Verdana"/>
                <w:sz w:val="16"/>
                <w:lang w:val="de-CH"/>
              </w:rPr>
              <w:t>76</w:t>
            </w:r>
            <w:r w:rsidR="0082633E" w:rsidRPr="002E691C">
              <w:rPr>
                <w:rFonts w:ascii="Verdana" w:hAnsi="Verdana"/>
                <w:sz w:val="16"/>
                <w:lang w:val="de-CH"/>
              </w:rPr>
              <w:t>'</w:t>
            </w:r>
            <w:r w:rsidR="003451FF" w:rsidRPr="002E691C">
              <w:rPr>
                <w:rFonts w:ascii="Verdana" w:hAnsi="Verdana"/>
                <w:sz w:val="16"/>
                <w:lang w:val="de-CH"/>
              </w:rPr>
              <w:t>454</w:t>
            </w:r>
            <w:r w:rsidR="0082633E" w:rsidRPr="002E691C">
              <w:rPr>
                <w:rFonts w:ascii="Verdana" w:hAnsi="Verdana"/>
                <w:sz w:val="16"/>
                <w:lang w:val="de-CH"/>
              </w:rPr>
              <w:t>'</w:t>
            </w:r>
            <w:r w:rsidR="003451FF" w:rsidRPr="002E691C">
              <w:rPr>
                <w:rFonts w:ascii="Verdana" w:hAnsi="Verdana"/>
                <w:sz w:val="16"/>
                <w:lang w:val="de-CH"/>
              </w:rPr>
              <w:t>174</w:t>
            </w:r>
            <w:r w:rsidRPr="00013D7C">
              <w:rPr>
                <w:rFonts w:ascii="Verdana" w:hAnsi="Verdana"/>
                <w:sz w:val="16"/>
                <w:lang w:val="de-CH"/>
              </w:rPr>
              <w:t xml:space="preserve"> voll</w:t>
            </w:r>
            <w:r w:rsidR="00727219">
              <w:rPr>
                <w:rFonts w:ascii="Verdana" w:hAnsi="Verdana"/>
                <w:sz w:val="16"/>
                <w:lang w:val="de-CH"/>
              </w:rPr>
              <w:t>ständig</w:t>
            </w:r>
            <w:r w:rsidRPr="00013D7C">
              <w:rPr>
                <w:rFonts w:ascii="Verdana" w:hAnsi="Verdana"/>
                <w:sz w:val="16"/>
                <w:lang w:val="de-CH"/>
              </w:rPr>
              <w:t xml:space="preserve"> zu liberierenden </w:t>
            </w:r>
            <w:r w:rsidR="00785E76" w:rsidRPr="00FB7456">
              <w:rPr>
                <w:rFonts w:ascii="Verdana" w:hAnsi="Verdana"/>
                <w:sz w:val="16"/>
                <w:lang w:val="de-CH"/>
              </w:rPr>
              <w:t xml:space="preserve">Namenaktien mit einem Nennwert von je </w:t>
            </w:r>
            <w:r w:rsidR="00785E76" w:rsidRPr="00FC1E60">
              <w:rPr>
                <w:rFonts w:ascii="Verdana" w:hAnsi="Verdana"/>
                <w:sz w:val="16"/>
                <w:lang w:val="de-CH"/>
              </w:rPr>
              <w:t>CHF 0.01</w:t>
            </w:r>
            <w:r w:rsidR="00785E76">
              <w:rPr>
                <w:rFonts w:ascii="Verdana" w:hAnsi="Verdana"/>
                <w:sz w:val="16"/>
                <w:lang w:val="de-CH"/>
              </w:rPr>
              <w:t xml:space="preserve"> </w:t>
            </w:r>
            <w:r w:rsidR="00D94D91">
              <w:rPr>
                <w:rFonts w:ascii="Verdana" w:hAnsi="Verdana"/>
                <w:sz w:val="16"/>
                <w:lang w:val="de-CH"/>
              </w:rPr>
              <w:t>und eine Kapitalherabsetzung</w:t>
            </w:r>
            <w:r w:rsidRPr="00013D7C">
              <w:rPr>
                <w:rFonts w:ascii="Verdana" w:hAnsi="Verdana"/>
                <w:sz w:val="16"/>
                <w:lang w:val="de-CH"/>
              </w:rPr>
              <w:t xml:space="preserve"> </w:t>
            </w:r>
            <w:r w:rsidR="00D94D91">
              <w:rPr>
                <w:rFonts w:ascii="Verdana" w:hAnsi="Verdana"/>
                <w:sz w:val="16"/>
                <w:lang w:val="de-CH"/>
              </w:rPr>
              <w:t xml:space="preserve">durch </w:t>
            </w:r>
            <w:r w:rsidRPr="00013D7C">
              <w:rPr>
                <w:rFonts w:ascii="Verdana" w:hAnsi="Verdana"/>
                <w:sz w:val="16"/>
                <w:lang w:val="de-CH"/>
              </w:rPr>
              <w:t xml:space="preserve">Vernichtung von bis zu </w:t>
            </w:r>
            <w:r w:rsidR="00E6078C" w:rsidRPr="002E691C">
              <w:rPr>
                <w:rFonts w:ascii="Verdana" w:hAnsi="Verdana"/>
                <w:sz w:val="16"/>
                <w:lang w:val="de-CH"/>
              </w:rPr>
              <w:t>38'227'087</w:t>
            </w:r>
            <w:r w:rsidRPr="00013D7C">
              <w:rPr>
                <w:rFonts w:ascii="Verdana" w:hAnsi="Verdana"/>
                <w:sz w:val="16"/>
                <w:lang w:val="de-CH"/>
              </w:rPr>
              <w:t xml:space="preserve"> </w:t>
            </w:r>
            <w:r w:rsidR="00785E76" w:rsidRPr="00FB7456">
              <w:rPr>
                <w:rFonts w:ascii="Verdana" w:hAnsi="Verdana"/>
                <w:sz w:val="16"/>
                <w:lang w:val="de-CH"/>
              </w:rPr>
              <w:t xml:space="preserve">Namenaktien mit einem Nennwert von je </w:t>
            </w:r>
            <w:r w:rsidR="00785E76" w:rsidRPr="00FC1E60">
              <w:rPr>
                <w:rFonts w:ascii="Verdana" w:hAnsi="Verdana"/>
                <w:sz w:val="16"/>
                <w:lang w:val="de-CH"/>
              </w:rPr>
              <w:t>CHF 0.01</w:t>
            </w:r>
            <w:r w:rsidR="002004B7">
              <w:rPr>
                <w:rFonts w:ascii="Verdana" w:hAnsi="Verdana"/>
                <w:sz w:val="16"/>
                <w:lang w:val="de-CH"/>
              </w:rPr>
              <w:t xml:space="preserve"> </w:t>
            </w:r>
            <w:r w:rsidR="00D94D91">
              <w:rPr>
                <w:rFonts w:ascii="Verdana" w:hAnsi="Verdana"/>
                <w:sz w:val="16"/>
                <w:lang w:val="de-CH"/>
              </w:rPr>
              <w:t xml:space="preserve">erfolgen. Weiter kann </w:t>
            </w:r>
            <w:r w:rsidR="0039137D">
              <w:rPr>
                <w:rFonts w:ascii="Verdana" w:hAnsi="Verdana"/>
                <w:sz w:val="16"/>
                <w:lang w:val="de-CH"/>
              </w:rPr>
              <w:t xml:space="preserve">im Rahmen des Kapitalbands </w:t>
            </w:r>
            <w:r w:rsidRPr="00013D7C">
              <w:rPr>
                <w:rFonts w:ascii="Verdana" w:hAnsi="Verdana"/>
                <w:sz w:val="16"/>
                <w:lang w:val="de-CH"/>
              </w:rPr>
              <w:t xml:space="preserve">eine Erhöhung bzw. Herabsetzung der Nennwerte der bestehenden Aktien </w:t>
            </w:r>
            <w:r w:rsidR="00D94D91">
              <w:rPr>
                <w:rFonts w:ascii="Verdana" w:hAnsi="Verdana"/>
                <w:sz w:val="16"/>
                <w:lang w:val="de-CH"/>
              </w:rPr>
              <w:t>sowie</w:t>
            </w:r>
            <w:r w:rsidRPr="00013D7C">
              <w:rPr>
                <w:rFonts w:ascii="Verdana" w:hAnsi="Verdana"/>
                <w:sz w:val="16"/>
                <w:lang w:val="de-CH"/>
              </w:rPr>
              <w:t xml:space="preserve"> </w:t>
            </w:r>
            <w:r w:rsidR="00D94D91">
              <w:rPr>
                <w:rFonts w:ascii="Verdana" w:hAnsi="Verdana"/>
                <w:sz w:val="16"/>
                <w:lang w:val="de-CH"/>
              </w:rPr>
              <w:t>eine</w:t>
            </w:r>
            <w:r w:rsidRPr="00013D7C">
              <w:rPr>
                <w:rFonts w:ascii="Verdana" w:hAnsi="Verdana"/>
                <w:sz w:val="16"/>
                <w:lang w:val="de-CH"/>
              </w:rPr>
              <w:t xml:space="preserve"> gleichzeitige Herabsetzung und Wiedererhöhung des Aktienkapitals erfolgen</w:t>
            </w:r>
            <w:r w:rsidR="00D94D91">
              <w:rPr>
                <w:rFonts w:ascii="Verdana" w:hAnsi="Verdana"/>
                <w:sz w:val="16"/>
                <w:lang w:val="de-CH"/>
              </w:rPr>
              <w:t xml:space="preserve">. </w:t>
            </w:r>
          </w:p>
        </w:tc>
        <w:tc>
          <w:tcPr>
            <w:tcW w:w="596" w:type="dxa"/>
          </w:tcPr>
          <w:p w14:paraId="186F16AC" w14:textId="77777777" w:rsidR="002F537E" w:rsidRDefault="002F537E" w:rsidP="002F537E">
            <w:pPr>
              <w:jc w:val="center"/>
              <w:rPr>
                <w:rFonts w:ascii="Verdana" w:hAnsi="Verdana"/>
                <w:sz w:val="16"/>
                <w:lang w:val="de-DE"/>
              </w:rPr>
            </w:pPr>
          </w:p>
        </w:tc>
        <w:tc>
          <w:tcPr>
            <w:tcW w:w="5074" w:type="dxa"/>
          </w:tcPr>
          <w:p w14:paraId="78C5921B" w14:textId="08FA1E15"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013D7C">
              <w:rPr>
                <w:rFonts w:ascii="Verdana" w:hAnsi="Verdana"/>
                <w:sz w:val="16"/>
                <w:lang w:val="en-US"/>
              </w:rPr>
              <w:t xml:space="preserve">The Company has a capital band ranging from </w:t>
            </w:r>
            <w:r w:rsidR="00011F5A">
              <w:rPr>
                <w:rFonts w:ascii="Verdana" w:hAnsi="Verdana"/>
                <w:sz w:val="16"/>
                <w:lang w:val="en-US"/>
              </w:rPr>
              <w:t>CHF </w:t>
            </w:r>
            <w:r w:rsidR="0082633E" w:rsidRPr="002E691C">
              <w:rPr>
                <w:rFonts w:ascii="Verdana" w:hAnsi="Verdana"/>
                <w:sz w:val="16"/>
                <w:lang w:val="en-US"/>
              </w:rPr>
              <w:t>3'440'437.85</w:t>
            </w:r>
            <w:r w:rsidRPr="002E691C">
              <w:rPr>
                <w:rFonts w:ascii="Verdana" w:hAnsi="Verdana"/>
                <w:sz w:val="16"/>
                <w:lang w:val="en-US"/>
              </w:rPr>
              <w:t xml:space="preserve"> (lower limit) to </w:t>
            </w:r>
            <w:r w:rsidR="00011F5A" w:rsidRPr="002E691C">
              <w:rPr>
                <w:rFonts w:ascii="Verdana" w:hAnsi="Verdana"/>
                <w:sz w:val="16"/>
                <w:lang w:val="en-US"/>
              </w:rPr>
              <w:t>CHF </w:t>
            </w:r>
            <w:r w:rsidR="003451FF" w:rsidRPr="00EC5AD2">
              <w:rPr>
                <w:rFonts w:ascii="Verdana" w:hAnsi="Verdana"/>
                <w:sz w:val="16"/>
                <w:lang w:val="en-US"/>
              </w:rPr>
              <w:t>4'587'250.46</w:t>
            </w:r>
            <w:r w:rsidR="003451FF" w:rsidRPr="00013D7C">
              <w:rPr>
                <w:rFonts w:ascii="Verdana" w:hAnsi="Verdana"/>
                <w:sz w:val="16"/>
                <w:lang w:val="en-US"/>
              </w:rPr>
              <w:t xml:space="preserve"> </w:t>
            </w:r>
            <w:r w:rsidRPr="00013D7C">
              <w:rPr>
                <w:rFonts w:ascii="Verdana" w:hAnsi="Verdana"/>
                <w:sz w:val="16"/>
                <w:lang w:val="en-US"/>
              </w:rPr>
              <w:t xml:space="preserve">(upper limit). The Board of Directors is authorized to increase or reduce the share capital </w:t>
            </w:r>
            <w:r w:rsidR="00055954" w:rsidRPr="00013D7C">
              <w:rPr>
                <w:rFonts w:ascii="Verdana" w:hAnsi="Verdana"/>
                <w:sz w:val="16"/>
                <w:lang w:val="en-US"/>
              </w:rPr>
              <w:t xml:space="preserve">within the capital band </w:t>
            </w:r>
            <w:r w:rsidRPr="00013D7C">
              <w:rPr>
                <w:rFonts w:ascii="Verdana" w:hAnsi="Verdana"/>
                <w:sz w:val="16"/>
                <w:lang w:val="en-US"/>
              </w:rPr>
              <w:t xml:space="preserve">at any time or from time to time and in any (partial) amounts or to cause the Company or any of its group companies to acquire (including under a share repurchase </w:t>
            </w:r>
            <w:proofErr w:type="spellStart"/>
            <w:r w:rsidRPr="00013D7C">
              <w:rPr>
                <w:rFonts w:ascii="Verdana" w:hAnsi="Verdana"/>
                <w:sz w:val="16"/>
                <w:lang w:val="en-US"/>
              </w:rPr>
              <w:t>program</w:t>
            </w:r>
            <w:r w:rsidR="009434F5">
              <w:rPr>
                <w:rFonts w:ascii="Verdana" w:hAnsi="Verdana"/>
                <w:sz w:val="16"/>
                <w:lang w:val="en-US"/>
              </w:rPr>
              <w:t>me</w:t>
            </w:r>
            <w:proofErr w:type="spellEnd"/>
            <w:r w:rsidRPr="00013D7C">
              <w:rPr>
                <w:rFonts w:ascii="Verdana" w:hAnsi="Verdana"/>
                <w:sz w:val="16"/>
                <w:lang w:val="en-US"/>
              </w:rPr>
              <w:t xml:space="preserve">) </w:t>
            </w:r>
            <w:r w:rsidR="00E61F63">
              <w:rPr>
                <w:rFonts w:ascii="Verdana" w:hAnsi="Verdana"/>
                <w:sz w:val="16"/>
                <w:lang w:val="en-US"/>
              </w:rPr>
              <w:t>s</w:t>
            </w:r>
            <w:r w:rsidRPr="00013D7C">
              <w:rPr>
                <w:rFonts w:ascii="Verdana" w:hAnsi="Verdana"/>
                <w:sz w:val="16"/>
                <w:lang w:val="en-US"/>
              </w:rPr>
              <w:t xml:space="preserve">hares directly or indirectly, until the earlier of </w:t>
            </w:r>
            <w:r w:rsidR="00317A7F">
              <w:rPr>
                <w:rFonts w:ascii="Verdana" w:hAnsi="Verdana"/>
                <w:sz w:val="16"/>
                <w:lang w:val="en-US"/>
              </w:rPr>
              <w:t>16</w:t>
            </w:r>
            <w:r w:rsidR="00F97699">
              <w:rPr>
                <w:rFonts w:ascii="Verdana" w:hAnsi="Verdana"/>
                <w:sz w:val="16"/>
                <w:lang w:val="en-US"/>
              </w:rPr>
              <w:t> April </w:t>
            </w:r>
            <w:r w:rsidR="005D382D" w:rsidRPr="00EC5AD2">
              <w:rPr>
                <w:rFonts w:ascii="Verdana" w:hAnsi="Verdana"/>
                <w:sz w:val="16"/>
                <w:lang w:val="en-US"/>
              </w:rPr>
              <w:t>20</w:t>
            </w:r>
            <w:r w:rsidR="00317A7F">
              <w:rPr>
                <w:rFonts w:ascii="Verdana" w:hAnsi="Verdana"/>
                <w:sz w:val="16"/>
                <w:lang w:val="en-US"/>
              </w:rPr>
              <w:t>31</w:t>
            </w:r>
            <w:r w:rsidRPr="00013D7C">
              <w:rPr>
                <w:rFonts w:ascii="Verdana" w:hAnsi="Verdana"/>
                <w:sz w:val="16"/>
                <w:lang w:val="en-US"/>
              </w:rPr>
              <w:t xml:space="preserve"> or the full use of the capital band. </w:t>
            </w:r>
            <w:r w:rsidR="00D94D91">
              <w:rPr>
                <w:rFonts w:ascii="Verdana" w:hAnsi="Verdana"/>
                <w:sz w:val="16"/>
                <w:lang w:val="en-US"/>
              </w:rPr>
              <w:t>A</w:t>
            </w:r>
            <w:r w:rsidRPr="00013D7C">
              <w:rPr>
                <w:rFonts w:ascii="Verdana" w:hAnsi="Verdana"/>
                <w:sz w:val="16"/>
                <w:lang w:val="en-US"/>
              </w:rPr>
              <w:t xml:space="preserve"> capital increase may be </w:t>
            </w:r>
            <w:proofErr w:type="gramStart"/>
            <w:r w:rsidRPr="00013D7C">
              <w:rPr>
                <w:rFonts w:ascii="Verdana" w:hAnsi="Verdana"/>
                <w:sz w:val="16"/>
                <w:lang w:val="en-US"/>
              </w:rPr>
              <w:t>effected</w:t>
            </w:r>
            <w:proofErr w:type="gramEnd"/>
            <w:r w:rsidRPr="00013D7C">
              <w:rPr>
                <w:rFonts w:ascii="Verdana" w:hAnsi="Verdana"/>
                <w:sz w:val="16"/>
                <w:lang w:val="en-US"/>
              </w:rPr>
              <w:t xml:space="preserve"> by issuing up to </w:t>
            </w:r>
            <w:r w:rsidR="003451FF" w:rsidRPr="00EC5AD2">
              <w:rPr>
                <w:rFonts w:ascii="Verdana" w:hAnsi="Verdana"/>
                <w:sz w:val="16"/>
                <w:lang w:val="en-US"/>
              </w:rPr>
              <w:t>76'454'174</w:t>
            </w:r>
            <w:r w:rsidRPr="00013D7C">
              <w:rPr>
                <w:rFonts w:ascii="Verdana" w:hAnsi="Verdana"/>
                <w:sz w:val="16"/>
                <w:lang w:val="en-US"/>
              </w:rPr>
              <w:t xml:space="preserve"> fully paid-in </w:t>
            </w:r>
            <w:r w:rsidR="00785E76" w:rsidRPr="00AC3A88">
              <w:rPr>
                <w:rFonts w:ascii="Verdana" w:hAnsi="Verdana"/>
                <w:sz w:val="16"/>
                <w:lang w:val="en-US"/>
              </w:rPr>
              <w:t>registered shares, ea</w:t>
            </w:r>
            <w:r w:rsidR="00785E76">
              <w:rPr>
                <w:rFonts w:ascii="Verdana" w:hAnsi="Verdana"/>
                <w:sz w:val="16"/>
                <w:lang w:val="en-US"/>
              </w:rPr>
              <w:t xml:space="preserve">ch with a nominal value of CHF 0.01, </w:t>
            </w:r>
            <w:r w:rsidR="00D94D91">
              <w:rPr>
                <w:rFonts w:ascii="Verdana" w:hAnsi="Verdana"/>
                <w:sz w:val="16"/>
                <w:lang w:val="en-US"/>
              </w:rPr>
              <w:t>and a capital reduction by way of</w:t>
            </w:r>
            <w:r w:rsidRPr="00013D7C">
              <w:rPr>
                <w:rFonts w:ascii="Verdana" w:hAnsi="Verdana"/>
                <w:sz w:val="16"/>
                <w:lang w:val="en-US"/>
              </w:rPr>
              <w:t xml:space="preserve"> cancelling up to </w:t>
            </w:r>
            <w:r w:rsidR="00E6078C" w:rsidRPr="002E691C">
              <w:rPr>
                <w:rFonts w:ascii="Verdana" w:hAnsi="Verdana"/>
                <w:sz w:val="16"/>
                <w:lang w:val="en-US"/>
              </w:rPr>
              <w:t>38'227'087</w:t>
            </w:r>
            <w:r w:rsidRPr="00013D7C">
              <w:rPr>
                <w:rFonts w:ascii="Verdana" w:hAnsi="Verdana"/>
                <w:sz w:val="16"/>
                <w:lang w:val="en-US"/>
              </w:rPr>
              <w:t xml:space="preserve"> </w:t>
            </w:r>
            <w:r w:rsidR="00785E76" w:rsidRPr="00AC3A88">
              <w:rPr>
                <w:rFonts w:ascii="Verdana" w:hAnsi="Verdana"/>
                <w:sz w:val="16"/>
                <w:lang w:val="en-US"/>
              </w:rPr>
              <w:t>registered shares, ea</w:t>
            </w:r>
            <w:r w:rsidR="00785E76">
              <w:rPr>
                <w:rFonts w:ascii="Verdana" w:hAnsi="Verdana"/>
                <w:sz w:val="16"/>
                <w:lang w:val="en-US"/>
              </w:rPr>
              <w:t>ch with a nominal value of CHF 0.01</w:t>
            </w:r>
            <w:r w:rsidR="00D94D91">
              <w:rPr>
                <w:rFonts w:ascii="Verdana" w:hAnsi="Verdana"/>
                <w:sz w:val="16"/>
                <w:lang w:val="en-US"/>
              </w:rPr>
              <w:t xml:space="preserve">. A capital increase or capital reduction may </w:t>
            </w:r>
            <w:r w:rsidR="0039137D">
              <w:rPr>
                <w:rFonts w:ascii="Verdana" w:hAnsi="Verdana"/>
                <w:sz w:val="16"/>
                <w:lang w:val="en-US"/>
              </w:rPr>
              <w:t>further</w:t>
            </w:r>
            <w:r w:rsidR="00D94D91">
              <w:rPr>
                <w:rFonts w:ascii="Verdana" w:hAnsi="Verdana"/>
                <w:sz w:val="16"/>
                <w:lang w:val="en-US"/>
              </w:rPr>
              <w:t xml:space="preserve"> be </w:t>
            </w:r>
            <w:proofErr w:type="gramStart"/>
            <w:r w:rsidR="00D94D91">
              <w:rPr>
                <w:rFonts w:ascii="Verdana" w:hAnsi="Verdana"/>
                <w:sz w:val="16"/>
                <w:lang w:val="en-US"/>
              </w:rPr>
              <w:t>effected</w:t>
            </w:r>
            <w:proofErr w:type="gramEnd"/>
            <w:r w:rsidR="00D94D91">
              <w:rPr>
                <w:rFonts w:ascii="Verdana" w:hAnsi="Verdana"/>
                <w:sz w:val="16"/>
                <w:lang w:val="en-US"/>
              </w:rPr>
              <w:t xml:space="preserve"> </w:t>
            </w:r>
            <w:r w:rsidR="0039137D">
              <w:rPr>
                <w:rFonts w:ascii="Verdana" w:hAnsi="Verdana"/>
                <w:sz w:val="16"/>
                <w:lang w:val="en-US"/>
              </w:rPr>
              <w:t xml:space="preserve">with the capital band </w:t>
            </w:r>
            <w:r w:rsidR="00D94D91">
              <w:rPr>
                <w:rFonts w:ascii="Verdana" w:hAnsi="Verdana"/>
                <w:sz w:val="16"/>
                <w:lang w:val="en-US"/>
              </w:rPr>
              <w:t xml:space="preserve">by way of an increase or a reduction of </w:t>
            </w:r>
            <w:r w:rsidRPr="00013D7C">
              <w:rPr>
                <w:rFonts w:ascii="Verdana" w:hAnsi="Verdana"/>
                <w:sz w:val="16"/>
                <w:lang w:val="en-US"/>
              </w:rPr>
              <w:t xml:space="preserve">the par value of the existing </w:t>
            </w:r>
            <w:r w:rsidR="00E61F63">
              <w:rPr>
                <w:rFonts w:ascii="Verdana" w:hAnsi="Verdana"/>
                <w:sz w:val="16"/>
                <w:lang w:val="en-US"/>
              </w:rPr>
              <w:t>s</w:t>
            </w:r>
            <w:r w:rsidRPr="00013D7C">
              <w:rPr>
                <w:rFonts w:ascii="Verdana" w:hAnsi="Verdana"/>
                <w:sz w:val="16"/>
                <w:lang w:val="en-US"/>
              </w:rPr>
              <w:t>hares or by a simultaneous reduction and re-increase of the share capital</w:t>
            </w:r>
            <w:r w:rsidR="00D94D91">
              <w:rPr>
                <w:rFonts w:ascii="Verdana" w:hAnsi="Verdana"/>
                <w:sz w:val="16"/>
                <w:lang w:val="en-US"/>
              </w:rPr>
              <w:t xml:space="preserve">. </w:t>
            </w:r>
          </w:p>
        </w:tc>
      </w:tr>
      <w:tr w:rsidR="002F537E" w:rsidRPr="00BA0AF1" w14:paraId="71EFD8FE" w14:textId="77777777" w:rsidTr="00846CDA">
        <w:tc>
          <w:tcPr>
            <w:tcW w:w="4962" w:type="dxa"/>
          </w:tcPr>
          <w:p w14:paraId="7356D929" w14:textId="7DB4A052" w:rsidR="002F537E" w:rsidRPr="00013D7C" w:rsidRDefault="002F537E" w:rsidP="00C825D6">
            <w:pPr>
              <w:pStyle w:val="ListParagraph"/>
              <w:numPr>
                <w:ilvl w:val="0"/>
                <w:numId w:val="70"/>
              </w:numPr>
              <w:spacing w:before="60"/>
              <w:ind w:left="351"/>
              <w:jc w:val="both"/>
              <w:rPr>
                <w:rFonts w:ascii="Verdana" w:hAnsi="Verdana"/>
                <w:b/>
                <w:sz w:val="16"/>
                <w:lang w:val="de-CH"/>
              </w:rPr>
            </w:pPr>
            <w:r w:rsidRPr="00013D7C">
              <w:rPr>
                <w:rFonts w:ascii="Verdana" w:hAnsi="Verdana"/>
                <w:sz w:val="16"/>
                <w:lang w:val="de-CH"/>
              </w:rPr>
              <w:lastRenderedPageBreak/>
              <w:t xml:space="preserve">Im Rahmen des Kapitalbands können Aktien auch im Falle einer Fusion, Konsolidierung, Übernahme, öffentlichen Übernahme oder einer ähnlichen Transaktion (eine </w:t>
            </w:r>
            <w:r w:rsidR="00E6078C">
              <w:rPr>
                <w:rFonts w:ascii="Verdana" w:hAnsi="Verdana"/>
                <w:sz w:val="16"/>
                <w:lang w:val="de-CH"/>
              </w:rPr>
              <w:t>"</w:t>
            </w:r>
            <w:r w:rsidRPr="00013D7C">
              <w:rPr>
                <w:rFonts w:ascii="Verdana" w:hAnsi="Verdana"/>
                <w:sz w:val="16"/>
                <w:lang w:val="de-CH"/>
              </w:rPr>
              <w:t>Strategische Transaktion</w:t>
            </w:r>
            <w:r w:rsidR="00E6078C">
              <w:rPr>
                <w:rFonts w:ascii="Verdana" w:hAnsi="Verdana"/>
                <w:sz w:val="16"/>
                <w:lang w:val="de-CH"/>
              </w:rPr>
              <w:t>"</w:t>
            </w:r>
            <w:r w:rsidRPr="00013D7C">
              <w:rPr>
                <w:rFonts w:ascii="Verdana" w:hAnsi="Verdana"/>
                <w:sz w:val="16"/>
                <w:lang w:val="de-CH"/>
              </w:rPr>
              <w:t>) ausgegeben oder vernichtet werden.</w:t>
            </w:r>
          </w:p>
        </w:tc>
        <w:tc>
          <w:tcPr>
            <w:tcW w:w="596" w:type="dxa"/>
          </w:tcPr>
          <w:p w14:paraId="65D5F380" w14:textId="77777777" w:rsidR="002F537E" w:rsidRDefault="002F537E" w:rsidP="002F537E">
            <w:pPr>
              <w:jc w:val="center"/>
              <w:rPr>
                <w:rFonts w:ascii="Verdana" w:hAnsi="Verdana"/>
                <w:sz w:val="16"/>
                <w:lang w:val="de-DE"/>
              </w:rPr>
            </w:pPr>
          </w:p>
        </w:tc>
        <w:tc>
          <w:tcPr>
            <w:tcW w:w="5074" w:type="dxa"/>
          </w:tcPr>
          <w:p w14:paraId="5BEB6E35" w14:textId="7FFEAE2B"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EC4F28">
              <w:rPr>
                <w:rFonts w:ascii="Verdana" w:hAnsi="Verdana"/>
                <w:sz w:val="16"/>
                <w:lang w:val="en-US"/>
              </w:rPr>
              <w:t xml:space="preserve">Within the capital band, </w:t>
            </w:r>
            <w:r w:rsidR="00E61F63">
              <w:rPr>
                <w:rFonts w:ascii="Verdana" w:hAnsi="Verdana"/>
                <w:sz w:val="16"/>
                <w:lang w:val="en-US"/>
              </w:rPr>
              <w:t>s</w:t>
            </w:r>
            <w:r w:rsidRPr="00EC4F28">
              <w:rPr>
                <w:rFonts w:ascii="Verdana" w:hAnsi="Verdana"/>
                <w:sz w:val="16"/>
                <w:lang w:val="en-US"/>
              </w:rPr>
              <w:t xml:space="preserve">hares may also be issued or cancelled in the event of a merger, consolidation, acquisition, public takeover or a similar transaction (a </w:t>
            </w:r>
            <w:r w:rsidR="00E6078C">
              <w:rPr>
                <w:rFonts w:ascii="Verdana" w:hAnsi="Verdana"/>
                <w:sz w:val="16"/>
                <w:lang w:val="en-US"/>
              </w:rPr>
              <w:t>"</w:t>
            </w:r>
            <w:r w:rsidRPr="00EC4F28">
              <w:rPr>
                <w:rFonts w:ascii="Verdana" w:hAnsi="Verdana"/>
                <w:sz w:val="16"/>
                <w:lang w:val="en-US"/>
              </w:rPr>
              <w:t>Strategic Transaction</w:t>
            </w:r>
            <w:r w:rsidR="00E6078C">
              <w:rPr>
                <w:rFonts w:ascii="Verdana" w:hAnsi="Verdana"/>
                <w:sz w:val="16"/>
                <w:lang w:val="en-US"/>
              </w:rPr>
              <w:t>"</w:t>
            </w:r>
            <w:r w:rsidRPr="00EC4F28">
              <w:rPr>
                <w:rFonts w:ascii="Verdana" w:hAnsi="Verdana"/>
                <w:sz w:val="16"/>
                <w:lang w:val="en-US"/>
              </w:rPr>
              <w:t>).</w:t>
            </w:r>
          </w:p>
        </w:tc>
      </w:tr>
      <w:tr w:rsidR="002F537E" w:rsidRPr="00BA0AF1" w14:paraId="76643EEA" w14:textId="77777777" w:rsidTr="00846CDA">
        <w:tc>
          <w:tcPr>
            <w:tcW w:w="4962" w:type="dxa"/>
          </w:tcPr>
          <w:p w14:paraId="13514289" w14:textId="012812DA" w:rsidR="002F537E" w:rsidRPr="002F537E" w:rsidRDefault="002F537E" w:rsidP="00C825D6">
            <w:pPr>
              <w:pStyle w:val="ListParagraph"/>
              <w:numPr>
                <w:ilvl w:val="0"/>
                <w:numId w:val="70"/>
              </w:numPr>
              <w:spacing w:before="60"/>
              <w:ind w:left="351"/>
              <w:jc w:val="both"/>
              <w:rPr>
                <w:rFonts w:ascii="Verdana" w:hAnsi="Verdana"/>
                <w:b/>
                <w:sz w:val="16"/>
                <w:lang w:val="de-CH"/>
              </w:rPr>
            </w:pPr>
            <w:r w:rsidRPr="00EC4F28">
              <w:rPr>
                <w:rFonts w:ascii="Verdana" w:hAnsi="Verdana"/>
                <w:sz w:val="16"/>
                <w:lang w:val="de-CH"/>
              </w:rPr>
              <w:t>Im Falle einer Ausgabe von neuen Aktien unterliegen Zeichnung und Erwerb dieser Aktien sowie jede nachfolgende Übertragung von Aktien Art</w:t>
            </w:r>
            <w:r w:rsidR="00E6078C">
              <w:rPr>
                <w:rFonts w:ascii="Verdana" w:hAnsi="Verdana"/>
                <w:sz w:val="16"/>
                <w:lang w:val="de-CH"/>
              </w:rPr>
              <w:t>. </w:t>
            </w:r>
            <w:r w:rsidR="00F21BFE">
              <w:rPr>
                <w:rFonts w:ascii="Verdana" w:hAnsi="Verdana"/>
                <w:sz w:val="16"/>
                <w:lang w:val="de-CH"/>
              </w:rPr>
              <w:t>7</w:t>
            </w:r>
            <w:r w:rsidRPr="00EC4F28">
              <w:rPr>
                <w:rFonts w:ascii="Verdana" w:hAnsi="Verdana"/>
                <w:sz w:val="16"/>
                <w:lang w:val="de-CH"/>
              </w:rPr>
              <w:t xml:space="preserve"> dieser Statuten.</w:t>
            </w:r>
          </w:p>
        </w:tc>
        <w:tc>
          <w:tcPr>
            <w:tcW w:w="596" w:type="dxa"/>
          </w:tcPr>
          <w:p w14:paraId="2F723638" w14:textId="77777777" w:rsidR="002F537E" w:rsidRDefault="002F537E" w:rsidP="002F537E">
            <w:pPr>
              <w:jc w:val="center"/>
              <w:rPr>
                <w:rFonts w:ascii="Verdana" w:hAnsi="Verdana"/>
                <w:sz w:val="16"/>
                <w:lang w:val="de-DE"/>
              </w:rPr>
            </w:pPr>
          </w:p>
        </w:tc>
        <w:tc>
          <w:tcPr>
            <w:tcW w:w="5074" w:type="dxa"/>
          </w:tcPr>
          <w:p w14:paraId="4B96E1E0" w14:textId="75981E4B"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EC4F28">
              <w:rPr>
                <w:rFonts w:ascii="Verdana" w:hAnsi="Verdana"/>
                <w:sz w:val="16"/>
                <w:lang w:val="en-US"/>
              </w:rPr>
              <w:t xml:space="preserve">In the event of </w:t>
            </w:r>
            <w:proofErr w:type="gramStart"/>
            <w:r w:rsidRPr="00EC4F28">
              <w:rPr>
                <w:rFonts w:ascii="Verdana" w:hAnsi="Verdana"/>
                <w:sz w:val="16"/>
                <w:lang w:val="en-US"/>
              </w:rPr>
              <w:t>an</w:t>
            </w:r>
            <w:proofErr w:type="gramEnd"/>
            <w:r w:rsidRPr="00EC4F28">
              <w:rPr>
                <w:rFonts w:ascii="Verdana" w:hAnsi="Verdana"/>
                <w:sz w:val="16"/>
                <w:lang w:val="en-US"/>
              </w:rPr>
              <w:t xml:space="preserve"> issuance of new </w:t>
            </w:r>
            <w:r w:rsidR="00E61F63">
              <w:rPr>
                <w:rFonts w:ascii="Verdana" w:hAnsi="Verdana"/>
                <w:sz w:val="16"/>
                <w:lang w:val="en-US"/>
              </w:rPr>
              <w:t>s</w:t>
            </w:r>
            <w:r w:rsidRPr="00EC4F28">
              <w:rPr>
                <w:rFonts w:ascii="Verdana" w:hAnsi="Verdana"/>
                <w:sz w:val="16"/>
                <w:lang w:val="en-US"/>
              </w:rPr>
              <w:t xml:space="preserve">hares, the subscription and acquisition of such </w:t>
            </w:r>
            <w:r w:rsidR="00E61F63">
              <w:rPr>
                <w:rFonts w:ascii="Verdana" w:hAnsi="Verdana"/>
                <w:sz w:val="16"/>
                <w:lang w:val="en-US"/>
              </w:rPr>
              <w:t>s</w:t>
            </w:r>
            <w:r w:rsidRPr="00EC4F28">
              <w:rPr>
                <w:rFonts w:ascii="Verdana" w:hAnsi="Verdana"/>
                <w:sz w:val="16"/>
                <w:lang w:val="en-US"/>
              </w:rPr>
              <w:t xml:space="preserve">hares and any subsequent transfer of </w:t>
            </w:r>
            <w:r w:rsidR="00E61F63">
              <w:rPr>
                <w:rFonts w:ascii="Verdana" w:hAnsi="Verdana"/>
                <w:sz w:val="16"/>
                <w:lang w:val="en-US"/>
              </w:rPr>
              <w:t>s</w:t>
            </w:r>
            <w:r w:rsidRPr="00EC4F28">
              <w:rPr>
                <w:rFonts w:ascii="Verdana" w:hAnsi="Verdana"/>
                <w:sz w:val="16"/>
                <w:lang w:val="en-US"/>
              </w:rPr>
              <w:t xml:space="preserve">hares shall be subject to </w:t>
            </w:r>
            <w:r w:rsidR="00E6078C">
              <w:rPr>
                <w:rFonts w:ascii="Verdana" w:hAnsi="Verdana"/>
                <w:sz w:val="16"/>
                <w:lang w:val="en-US"/>
              </w:rPr>
              <w:t>Art. </w:t>
            </w:r>
            <w:r w:rsidR="00F21BFE">
              <w:rPr>
                <w:rFonts w:ascii="Verdana" w:hAnsi="Verdana"/>
                <w:sz w:val="16"/>
                <w:lang w:val="en-US"/>
              </w:rPr>
              <w:t>7</w:t>
            </w:r>
            <w:r w:rsidRPr="00EC4F28">
              <w:rPr>
                <w:rFonts w:ascii="Verdana" w:hAnsi="Verdana"/>
                <w:sz w:val="16"/>
                <w:lang w:val="en-US"/>
              </w:rPr>
              <w:t xml:space="preserve"> of these Articles of Association.</w:t>
            </w:r>
          </w:p>
        </w:tc>
      </w:tr>
      <w:tr w:rsidR="002F537E" w:rsidRPr="00BA0AF1" w14:paraId="1FC53B50" w14:textId="77777777" w:rsidTr="00846CDA">
        <w:tc>
          <w:tcPr>
            <w:tcW w:w="4962" w:type="dxa"/>
          </w:tcPr>
          <w:p w14:paraId="48891B8D" w14:textId="24AF238C" w:rsidR="002F537E" w:rsidRPr="002F537E" w:rsidRDefault="002F537E" w:rsidP="00C825D6">
            <w:pPr>
              <w:pStyle w:val="ListParagraph"/>
              <w:numPr>
                <w:ilvl w:val="0"/>
                <w:numId w:val="70"/>
              </w:numPr>
              <w:spacing w:before="60"/>
              <w:ind w:left="351"/>
              <w:jc w:val="both"/>
              <w:rPr>
                <w:rFonts w:ascii="Verdana" w:hAnsi="Verdana"/>
                <w:b/>
                <w:sz w:val="16"/>
                <w:lang w:val="de-CH"/>
              </w:rPr>
            </w:pPr>
            <w:r w:rsidRPr="00EC4F28">
              <w:rPr>
                <w:rFonts w:ascii="Verdana" w:hAnsi="Verdana"/>
                <w:sz w:val="16"/>
                <w:lang w:val="de-CH"/>
              </w:rPr>
              <w:t>Bei einer Erhöhung des Aktienkapitals im Rahmen des Kapitalbands legt der Verwaltungsrat, soweit erforderlich, den Ausgabebetrag, die Art der Einlagen (einschliesslich Barliberierung, Sacheinlage, Verrechnung und Umwandlung von Reserven oder eines Gewinnvortrags in Aktienkapital), den Zeitpunkt der Ausgabe, die Bedingungen der Bezugsrechtsausübung, den Beginn der Dividendenberechtigung sowie alle anderen relevanten Ausgabebedingungen fest. Dabei kann der Verwaltungsrat die Gesellschaft veranlassen, neue Aktien mittels Festübernahme, direkter Platzierung oder einer ähnlichen Transaktion an Finanzinstitute, ein Konsortium von Finanzinstituten oder einen anderen Dritten und anschliessendem Angebot dieser Aktien an die bisherigen Aktionäre oder an Dritte (sofern die Bezugsrechte der bisherigen Aktionäre aufgehoben sind oder nicht gültig ausgeübt werden) auszugeben. Der Verwaltungsrat kann den Handel mit Bezugsrechten genehmigen oder ermöglichen, beschränken oder ausschliessen. Nicht gültig ausgeübte Bezugsrechte kann der Verwaltungsrat verfallen lassen, oder er kann diese bzw. Aktien, für welche Bezugsrechte eingeräumt, aber nicht gültig ausgeübt wurden, zu Marktkonditionen platzieren oder anderweitig im Interesse der Gesellschaft verwenden.</w:t>
            </w:r>
          </w:p>
        </w:tc>
        <w:tc>
          <w:tcPr>
            <w:tcW w:w="596" w:type="dxa"/>
          </w:tcPr>
          <w:p w14:paraId="4EF2C4AB" w14:textId="77777777" w:rsidR="002F537E" w:rsidRDefault="002F537E" w:rsidP="002F537E">
            <w:pPr>
              <w:jc w:val="center"/>
              <w:rPr>
                <w:rFonts w:ascii="Verdana" w:hAnsi="Verdana"/>
                <w:sz w:val="16"/>
                <w:lang w:val="de-DE"/>
              </w:rPr>
            </w:pPr>
          </w:p>
        </w:tc>
        <w:tc>
          <w:tcPr>
            <w:tcW w:w="5074" w:type="dxa"/>
          </w:tcPr>
          <w:p w14:paraId="526FA2CC" w14:textId="3E8FA27A"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EC4F28">
              <w:rPr>
                <w:rFonts w:ascii="Verdana" w:hAnsi="Verdana"/>
                <w:sz w:val="16"/>
                <w:lang w:val="en-US"/>
              </w:rPr>
              <w:t xml:space="preserve">In the event of a capital increase within the capital band, the Board </w:t>
            </w:r>
            <w:r w:rsidR="00D35DFF">
              <w:rPr>
                <w:rFonts w:ascii="Verdana" w:hAnsi="Verdana"/>
                <w:sz w:val="16"/>
                <w:lang w:val="en-US"/>
              </w:rPr>
              <w:t xml:space="preserve">of Directors </w:t>
            </w:r>
            <w:r w:rsidRPr="00EC4F28">
              <w:rPr>
                <w:rFonts w:ascii="Verdana" w:hAnsi="Verdana"/>
                <w:sz w:val="16"/>
                <w:lang w:val="en-US"/>
              </w:rPr>
              <w:t xml:space="preserve">shall, to the extent necessary, determine the issue price, the type of contribution (including a cash contribution, a contribution in kind, set-off and conversion of reserves or of profit carried forward into share capital), the date of issue, the conditions for the exercise of subscription rights, the </w:t>
            </w:r>
            <w:r w:rsidR="00F64B96">
              <w:rPr>
                <w:rFonts w:ascii="Verdana" w:hAnsi="Verdana"/>
                <w:sz w:val="16"/>
                <w:lang w:val="en-US"/>
              </w:rPr>
              <w:t>commencement</w:t>
            </w:r>
            <w:r w:rsidRPr="00EC4F28">
              <w:rPr>
                <w:rFonts w:ascii="Verdana" w:hAnsi="Verdana"/>
                <w:sz w:val="16"/>
                <w:lang w:val="en-US"/>
              </w:rPr>
              <w:t xml:space="preserve"> date for dividend entitlement and all other relevant terms of issuance. </w:t>
            </w:r>
            <w:r w:rsidRPr="002F537E">
              <w:rPr>
                <w:rFonts w:ascii="Verdana" w:hAnsi="Verdana"/>
                <w:sz w:val="16"/>
                <w:lang w:val="en-US"/>
              </w:rPr>
              <w:t xml:space="preserve">The Board </w:t>
            </w:r>
            <w:r w:rsidR="00BD6255">
              <w:rPr>
                <w:rFonts w:ascii="Verdana" w:hAnsi="Verdana"/>
                <w:sz w:val="16"/>
                <w:lang w:val="en-US"/>
              </w:rPr>
              <w:t xml:space="preserve">of Directors </w:t>
            </w:r>
            <w:r w:rsidRPr="002F537E">
              <w:rPr>
                <w:rFonts w:ascii="Verdana" w:hAnsi="Verdana"/>
                <w:sz w:val="16"/>
                <w:lang w:val="en-US"/>
              </w:rPr>
              <w:t xml:space="preserve">may cause the Company to issue new </w:t>
            </w:r>
            <w:r w:rsidR="00E61F63">
              <w:rPr>
                <w:rFonts w:ascii="Verdana" w:hAnsi="Verdana"/>
                <w:sz w:val="16"/>
                <w:lang w:val="en-US"/>
              </w:rPr>
              <w:t>s</w:t>
            </w:r>
            <w:r w:rsidRPr="002F537E">
              <w:rPr>
                <w:rFonts w:ascii="Verdana" w:hAnsi="Verdana"/>
                <w:sz w:val="16"/>
                <w:lang w:val="en-US"/>
              </w:rPr>
              <w:t xml:space="preserve">hares by an underwritten offering, direct placement or a similar transaction to financial institutions, a syndicate of financial institutions or another third party and a subsequent offer of such </w:t>
            </w:r>
            <w:r w:rsidR="00E61F63">
              <w:rPr>
                <w:rFonts w:ascii="Verdana" w:hAnsi="Verdana"/>
                <w:sz w:val="16"/>
                <w:lang w:val="en-US"/>
              </w:rPr>
              <w:t>s</w:t>
            </w:r>
            <w:r w:rsidRPr="002F537E">
              <w:rPr>
                <w:rFonts w:ascii="Verdana" w:hAnsi="Verdana"/>
                <w:sz w:val="16"/>
                <w:lang w:val="en-US"/>
              </w:rPr>
              <w:t>hares to the existing shareholders or third parties (if the subscription rights of the existing shareholders have been withdrawn or have not been duly exercised). The Board</w:t>
            </w:r>
            <w:r w:rsidR="0089188F">
              <w:rPr>
                <w:rFonts w:ascii="Verdana" w:hAnsi="Verdana"/>
                <w:sz w:val="16"/>
                <w:lang w:val="en-US"/>
              </w:rPr>
              <w:t xml:space="preserve"> of Directors</w:t>
            </w:r>
            <w:r w:rsidRPr="002F537E">
              <w:rPr>
                <w:rFonts w:ascii="Verdana" w:hAnsi="Verdana"/>
                <w:sz w:val="16"/>
                <w:lang w:val="en-US"/>
              </w:rPr>
              <w:t xml:space="preserve"> may authorize or permit, restrict or exclude the trading of subscription rights. It may permit the expir</w:t>
            </w:r>
            <w:r w:rsidR="00F64B96">
              <w:rPr>
                <w:rFonts w:ascii="Verdana" w:hAnsi="Verdana"/>
                <w:sz w:val="16"/>
                <w:lang w:val="en-US"/>
              </w:rPr>
              <w:t>y</w:t>
            </w:r>
            <w:r w:rsidRPr="002F537E">
              <w:rPr>
                <w:rFonts w:ascii="Verdana" w:hAnsi="Verdana"/>
                <w:sz w:val="16"/>
                <w:lang w:val="en-US"/>
              </w:rPr>
              <w:t xml:space="preserve"> of subscription rights that have not been duly exercised, or it may place such rights or </w:t>
            </w:r>
            <w:r w:rsidR="00E61F63">
              <w:rPr>
                <w:rFonts w:ascii="Verdana" w:hAnsi="Verdana"/>
                <w:sz w:val="16"/>
                <w:lang w:val="en-US"/>
              </w:rPr>
              <w:t>s</w:t>
            </w:r>
            <w:r w:rsidRPr="002F537E">
              <w:rPr>
                <w:rFonts w:ascii="Verdana" w:hAnsi="Verdana"/>
                <w:sz w:val="16"/>
                <w:lang w:val="en-US"/>
              </w:rPr>
              <w:t xml:space="preserve">hares as to which subscription rights have been granted, but not duly exercised, </w:t>
            </w:r>
            <w:proofErr w:type="gramStart"/>
            <w:r w:rsidRPr="002F537E">
              <w:rPr>
                <w:rFonts w:ascii="Verdana" w:hAnsi="Verdana"/>
                <w:sz w:val="16"/>
                <w:lang w:val="en-US"/>
              </w:rPr>
              <w:t>at</w:t>
            </w:r>
            <w:proofErr w:type="gramEnd"/>
            <w:r w:rsidRPr="002F537E">
              <w:rPr>
                <w:rFonts w:ascii="Verdana" w:hAnsi="Verdana"/>
                <w:sz w:val="16"/>
                <w:lang w:val="en-US"/>
              </w:rPr>
              <w:t xml:space="preserve"> market conditions or may use them otherwise in the interest of the Company.</w:t>
            </w:r>
          </w:p>
        </w:tc>
      </w:tr>
      <w:tr w:rsidR="002F537E" w:rsidRPr="00BA0AF1" w14:paraId="04983055" w14:textId="77777777" w:rsidTr="00846CDA">
        <w:tc>
          <w:tcPr>
            <w:tcW w:w="4962" w:type="dxa"/>
          </w:tcPr>
          <w:p w14:paraId="4663860E" w14:textId="21330710" w:rsidR="002F537E" w:rsidRPr="002F537E" w:rsidRDefault="002F537E" w:rsidP="00C825D6">
            <w:pPr>
              <w:pStyle w:val="ListParagraph"/>
              <w:numPr>
                <w:ilvl w:val="0"/>
                <w:numId w:val="70"/>
              </w:numPr>
              <w:spacing w:before="60"/>
              <w:ind w:left="351"/>
              <w:jc w:val="both"/>
              <w:rPr>
                <w:rFonts w:ascii="Verdana" w:hAnsi="Verdana"/>
                <w:b/>
                <w:sz w:val="16"/>
                <w:lang w:val="de-CH"/>
              </w:rPr>
            </w:pPr>
            <w:r w:rsidRPr="00EC4F28">
              <w:rPr>
                <w:rFonts w:ascii="Verdana" w:hAnsi="Verdana"/>
                <w:sz w:val="16"/>
                <w:lang w:val="de-CH"/>
              </w:rPr>
              <w:t xml:space="preserve">Der Verwaltungsrat ist ferner im Fall einer Ausgabe von Aktien, einschliesslich im Fall einer Strategischen Transaktion, ermächtigt, </w:t>
            </w:r>
            <w:r w:rsidR="003451FF">
              <w:rPr>
                <w:rFonts w:ascii="Verdana" w:hAnsi="Verdana"/>
                <w:sz w:val="16"/>
                <w:lang w:val="de-CH"/>
              </w:rPr>
              <w:t xml:space="preserve">in Bezug auf maximal </w:t>
            </w:r>
            <w:r w:rsidR="003451FF" w:rsidRPr="00EC5AD2">
              <w:rPr>
                <w:rFonts w:ascii="Verdana" w:hAnsi="Verdana"/>
                <w:sz w:val="16"/>
                <w:lang w:val="de-CH"/>
              </w:rPr>
              <w:t xml:space="preserve">38'227'087 Aktien, </w:t>
            </w:r>
            <w:r w:rsidRPr="00EC4F28">
              <w:rPr>
                <w:rFonts w:ascii="Verdana" w:hAnsi="Verdana"/>
                <w:sz w:val="16"/>
                <w:lang w:val="de-CH"/>
              </w:rPr>
              <w:t>das Bezugsrecht der bisherigen Aktionäre zu beschränken oder aufzuheben und Dritten (einschliesslich einzelnen Aktionären), der Gesellschaft oder einer ihrer Konzerngesellschaften zuzuweisen:</w:t>
            </w:r>
          </w:p>
        </w:tc>
        <w:tc>
          <w:tcPr>
            <w:tcW w:w="596" w:type="dxa"/>
          </w:tcPr>
          <w:p w14:paraId="731A9F59" w14:textId="77777777" w:rsidR="002F537E" w:rsidRDefault="002F537E" w:rsidP="002F537E">
            <w:pPr>
              <w:jc w:val="center"/>
              <w:rPr>
                <w:rFonts w:ascii="Verdana" w:hAnsi="Verdana"/>
                <w:sz w:val="16"/>
                <w:lang w:val="de-DE"/>
              </w:rPr>
            </w:pPr>
          </w:p>
        </w:tc>
        <w:tc>
          <w:tcPr>
            <w:tcW w:w="5074" w:type="dxa"/>
          </w:tcPr>
          <w:p w14:paraId="5F60187C" w14:textId="56440512"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EC4F28">
              <w:rPr>
                <w:rFonts w:ascii="Verdana" w:hAnsi="Verdana"/>
                <w:sz w:val="16"/>
                <w:lang w:val="en-US"/>
              </w:rPr>
              <w:t xml:space="preserve">In the event of an issuance of </w:t>
            </w:r>
            <w:r w:rsidR="00E61F63">
              <w:rPr>
                <w:rFonts w:ascii="Verdana" w:hAnsi="Verdana"/>
                <w:sz w:val="16"/>
                <w:lang w:val="en-US"/>
              </w:rPr>
              <w:t>s</w:t>
            </w:r>
            <w:r w:rsidRPr="00EC4F28">
              <w:rPr>
                <w:rFonts w:ascii="Verdana" w:hAnsi="Verdana"/>
                <w:sz w:val="16"/>
                <w:lang w:val="en-US"/>
              </w:rPr>
              <w:t>hares, including in the event of a Strategic Transaction, the Board</w:t>
            </w:r>
            <w:r w:rsidR="0089188F">
              <w:rPr>
                <w:rFonts w:ascii="Verdana" w:hAnsi="Verdana"/>
                <w:sz w:val="16"/>
                <w:lang w:val="en-US"/>
              </w:rPr>
              <w:t xml:space="preserve"> of Directors</w:t>
            </w:r>
            <w:r w:rsidRPr="00EC4F28">
              <w:rPr>
                <w:rFonts w:ascii="Verdana" w:hAnsi="Verdana"/>
                <w:sz w:val="16"/>
                <w:lang w:val="en-US"/>
              </w:rPr>
              <w:t xml:space="preserve"> is further authorized</w:t>
            </w:r>
            <w:r w:rsidR="003451FF">
              <w:rPr>
                <w:rFonts w:ascii="Verdana" w:hAnsi="Verdana"/>
                <w:sz w:val="16"/>
                <w:lang w:val="en-US"/>
              </w:rPr>
              <w:t xml:space="preserve">, with respect to up to </w:t>
            </w:r>
            <w:r w:rsidR="003451FF" w:rsidRPr="002E691C">
              <w:rPr>
                <w:rFonts w:ascii="Verdana" w:hAnsi="Verdana"/>
                <w:sz w:val="16"/>
                <w:lang w:val="en-US"/>
              </w:rPr>
              <w:t>38'227'087</w:t>
            </w:r>
            <w:r w:rsidR="003451FF" w:rsidRPr="00013D7C">
              <w:rPr>
                <w:rFonts w:ascii="Verdana" w:hAnsi="Verdana"/>
                <w:sz w:val="16"/>
                <w:lang w:val="en-US"/>
              </w:rPr>
              <w:t xml:space="preserve"> </w:t>
            </w:r>
            <w:r w:rsidR="003451FF">
              <w:rPr>
                <w:rFonts w:ascii="Verdana" w:hAnsi="Verdana"/>
                <w:sz w:val="16"/>
                <w:lang w:val="en-US"/>
              </w:rPr>
              <w:t>shares,</w:t>
            </w:r>
            <w:r w:rsidRPr="00EC4F28">
              <w:rPr>
                <w:rFonts w:ascii="Verdana" w:hAnsi="Verdana"/>
                <w:sz w:val="16"/>
                <w:lang w:val="en-US"/>
              </w:rPr>
              <w:t xml:space="preserve"> to limit or withdraw subscription rights of existing shareholders and allocate such rights to third parties (including individual shareholders), the Company or any of its group companies:</w:t>
            </w:r>
          </w:p>
        </w:tc>
      </w:tr>
      <w:tr w:rsidR="005D1E6C" w:rsidRPr="00BA0AF1" w14:paraId="43F04CED" w14:textId="77777777" w:rsidTr="00846CDA">
        <w:tc>
          <w:tcPr>
            <w:tcW w:w="4962" w:type="dxa"/>
          </w:tcPr>
          <w:p w14:paraId="46F828CB" w14:textId="50FACE98" w:rsidR="005D1E6C" w:rsidRPr="005D1E6C" w:rsidRDefault="005D1E6C" w:rsidP="005D1E6C">
            <w:pPr>
              <w:pStyle w:val="BodyText2"/>
              <w:spacing w:before="60"/>
              <w:ind w:left="634" w:hanging="283"/>
              <w:rPr>
                <w:sz w:val="16"/>
              </w:rPr>
            </w:pPr>
            <w:r>
              <w:rPr>
                <w:sz w:val="16"/>
              </w:rPr>
              <w:t>a.</w:t>
            </w:r>
            <w:r>
              <w:rPr>
                <w:sz w:val="16"/>
              </w:rPr>
              <w:tab/>
            </w:r>
            <w:r w:rsidRPr="005D1E6C">
              <w:rPr>
                <w:sz w:val="16"/>
              </w:rPr>
              <w:t xml:space="preserve">sofern die Aktien für die Übernahme von Unternehmen, Unternehmensteilen oder </w:t>
            </w:r>
            <w:r w:rsidRPr="008B6AB5">
              <w:rPr>
                <w:sz w:val="16"/>
              </w:rPr>
              <w:t>Beteiligungen</w:t>
            </w:r>
            <w:r w:rsidR="00A36E7E" w:rsidRPr="008B6AB5">
              <w:rPr>
                <w:sz w:val="16"/>
              </w:rPr>
              <w:t xml:space="preserve"> </w:t>
            </w:r>
            <w:r w:rsidR="000505FC" w:rsidRPr="008B6AB5">
              <w:rPr>
                <w:sz w:val="16"/>
              </w:rPr>
              <w:t>oder d</w:t>
            </w:r>
            <w:r w:rsidR="00A36E7E" w:rsidRPr="008B6AB5">
              <w:rPr>
                <w:sz w:val="16"/>
              </w:rPr>
              <w:t>en Erwerb von Produkten, Immaterialgütern oder Lizenzen durch</w:t>
            </w:r>
            <w:r w:rsidR="007A7D25" w:rsidRPr="008B6AB5">
              <w:rPr>
                <w:sz w:val="16"/>
              </w:rPr>
              <w:t xml:space="preserve"> </w:t>
            </w:r>
            <w:r w:rsidR="007A7D25">
              <w:rPr>
                <w:sz w:val="16"/>
              </w:rPr>
              <w:t>die</w:t>
            </w:r>
            <w:r w:rsidR="007A7D25" w:rsidRPr="008B6AB5">
              <w:rPr>
                <w:sz w:val="16"/>
              </w:rPr>
              <w:t xml:space="preserve"> Gesellschaft oder eine ihrer Konzerngesellschaften</w:t>
            </w:r>
            <w:r w:rsidR="000505FC" w:rsidRPr="008B6AB5">
              <w:rPr>
                <w:sz w:val="16"/>
              </w:rPr>
              <w:t>,</w:t>
            </w:r>
            <w:r w:rsidRPr="008B6AB5">
              <w:rPr>
                <w:sz w:val="16"/>
              </w:rPr>
              <w:t xml:space="preserve"> oder für die Finanzierung oder Refinanzierung solcher Transaktionen oder die Finanzierung von neuen Investitionsvorhaben der Gesellschaft </w:t>
            </w:r>
            <w:r w:rsidR="000505FC" w:rsidRPr="008B6AB5">
              <w:rPr>
                <w:sz w:val="16"/>
              </w:rPr>
              <w:t xml:space="preserve">oder einer ihrer Konzerngesellschaften </w:t>
            </w:r>
            <w:r w:rsidRPr="008B6AB5">
              <w:rPr>
                <w:sz w:val="16"/>
              </w:rPr>
              <w:t>verwendet werden;</w:t>
            </w:r>
          </w:p>
        </w:tc>
        <w:tc>
          <w:tcPr>
            <w:tcW w:w="596" w:type="dxa"/>
          </w:tcPr>
          <w:p w14:paraId="3941CB57" w14:textId="77777777" w:rsidR="005D1E6C" w:rsidRPr="005D1E6C" w:rsidRDefault="005D1E6C" w:rsidP="005D1E6C">
            <w:pPr>
              <w:spacing w:before="60"/>
              <w:jc w:val="both"/>
              <w:rPr>
                <w:rFonts w:ascii="Verdana" w:hAnsi="Verdana"/>
                <w:sz w:val="16"/>
                <w:lang w:val="de-CH"/>
              </w:rPr>
            </w:pPr>
          </w:p>
        </w:tc>
        <w:tc>
          <w:tcPr>
            <w:tcW w:w="5074" w:type="dxa"/>
          </w:tcPr>
          <w:p w14:paraId="2C22890C" w14:textId="72BBAA96" w:rsidR="005D1E6C" w:rsidRPr="00A36E7E" w:rsidRDefault="005D1E6C" w:rsidP="005D1E6C">
            <w:pPr>
              <w:pStyle w:val="ListParagraph"/>
              <w:spacing w:before="60"/>
              <w:ind w:left="720" w:hanging="369"/>
              <w:jc w:val="both"/>
              <w:rPr>
                <w:rFonts w:ascii="Verdana" w:hAnsi="Verdana"/>
                <w:sz w:val="16"/>
                <w:lang w:val="en-US"/>
              </w:rPr>
            </w:pPr>
            <w:r w:rsidRPr="00A36E7E">
              <w:rPr>
                <w:rFonts w:ascii="Verdana" w:hAnsi="Verdana"/>
                <w:sz w:val="16"/>
                <w:lang w:val="en-US"/>
              </w:rPr>
              <w:t>a.</w:t>
            </w:r>
            <w:r w:rsidRPr="00A36E7E">
              <w:rPr>
                <w:rFonts w:ascii="Verdana" w:hAnsi="Verdana"/>
                <w:sz w:val="16"/>
                <w:lang w:val="en-US"/>
              </w:rPr>
              <w:tab/>
            </w:r>
            <w:r w:rsidR="00F64B96">
              <w:rPr>
                <w:rFonts w:ascii="Verdana" w:hAnsi="Verdana"/>
                <w:sz w:val="16"/>
                <w:lang w:val="en-US"/>
              </w:rPr>
              <w:t>if</w:t>
            </w:r>
            <w:r w:rsidRPr="00A36E7E">
              <w:rPr>
                <w:rFonts w:ascii="Verdana" w:hAnsi="Verdana"/>
                <w:sz w:val="16"/>
                <w:lang w:val="en-US"/>
              </w:rPr>
              <w:t xml:space="preserve"> the new shares </w:t>
            </w:r>
            <w:r w:rsidR="00F64B96">
              <w:rPr>
                <w:rFonts w:ascii="Verdana" w:hAnsi="Verdana"/>
                <w:sz w:val="16"/>
                <w:lang w:val="en-US"/>
              </w:rPr>
              <w:t>are to be</w:t>
            </w:r>
            <w:r w:rsidRPr="00A36E7E">
              <w:rPr>
                <w:rFonts w:ascii="Verdana" w:hAnsi="Verdana"/>
                <w:sz w:val="16"/>
                <w:lang w:val="en-US"/>
              </w:rPr>
              <w:t xml:space="preserve"> used to acquire companies, parts thereof or </w:t>
            </w:r>
            <w:proofErr w:type="gramStart"/>
            <w:r w:rsidRPr="00A36E7E">
              <w:rPr>
                <w:rFonts w:ascii="Verdana" w:hAnsi="Verdana"/>
                <w:sz w:val="16"/>
                <w:lang w:val="en-US"/>
              </w:rPr>
              <w:t>participations</w:t>
            </w:r>
            <w:proofErr w:type="gramEnd"/>
            <w:r w:rsidRPr="00A36E7E">
              <w:rPr>
                <w:rFonts w:ascii="Verdana" w:hAnsi="Verdana"/>
                <w:sz w:val="16"/>
                <w:lang w:val="en-US"/>
              </w:rPr>
              <w:t xml:space="preserve">, </w:t>
            </w:r>
            <w:r w:rsidR="000505FC" w:rsidRPr="008B6AB5">
              <w:rPr>
                <w:rFonts w:ascii="Verdana" w:hAnsi="Verdana"/>
                <w:sz w:val="16"/>
                <w:lang w:val="en-US"/>
              </w:rPr>
              <w:t xml:space="preserve">for the acquisition of products, intellectual property or licenses </w:t>
            </w:r>
            <w:r w:rsidRPr="008B6AB5">
              <w:rPr>
                <w:rFonts w:ascii="Verdana" w:hAnsi="Verdana"/>
                <w:sz w:val="16"/>
                <w:lang w:val="en-US"/>
              </w:rPr>
              <w:t>or for the financing or refinancing of such transactions or for the financing of new investment projects undertaken by the Company</w:t>
            </w:r>
            <w:r w:rsidR="000505FC" w:rsidRPr="008B6AB5">
              <w:rPr>
                <w:rFonts w:ascii="Verdana" w:hAnsi="Verdana"/>
                <w:sz w:val="16"/>
                <w:lang w:val="en-US"/>
              </w:rPr>
              <w:t xml:space="preserve"> or one of its group companies</w:t>
            </w:r>
            <w:r w:rsidRPr="008B6AB5">
              <w:rPr>
                <w:rFonts w:ascii="Verdana" w:hAnsi="Verdana"/>
                <w:sz w:val="16"/>
                <w:lang w:val="en-US"/>
              </w:rPr>
              <w:t>;</w:t>
            </w:r>
          </w:p>
        </w:tc>
      </w:tr>
      <w:tr w:rsidR="005D1E6C" w:rsidRPr="00BA0AF1" w14:paraId="56B6D0D1" w14:textId="77777777" w:rsidTr="00846CDA">
        <w:tc>
          <w:tcPr>
            <w:tcW w:w="4962" w:type="dxa"/>
          </w:tcPr>
          <w:p w14:paraId="562077A7" w14:textId="2C999B9E" w:rsidR="005D1E6C" w:rsidRPr="005D1E6C" w:rsidRDefault="005D1E6C" w:rsidP="005D1E6C">
            <w:pPr>
              <w:pStyle w:val="BodyText2"/>
              <w:spacing w:before="60"/>
              <w:ind w:left="634" w:hanging="283"/>
              <w:rPr>
                <w:sz w:val="16"/>
              </w:rPr>
            </w:pPr>
            <w:r w:rsidRPr="005D1E6C">
              <w:rPr>
                <w:sz w:val="16"/>
              </w:rPr>
              <w:t>b.</w:t>
            </w:r>
            <w:r w:rsidRPr="005D1E6C">
              <w:rPr>
                <w:sz w:val="16"/>
              </w:rPr>
              <w:tab/>
              <w:t>sofern die Aktien zum Zwecke der Erweiterung des Aktionärskreises im Zusammenhang mit der Kotierung der Aktien an einer Börse oder zur Beteiligung von strategischen Partnern verwendet werden;</w:t>
            </w:r>
          </w:p>
        </w:tc>
        <w:tc>
          <w:tcPr>
            <w:tcW w:w="596" w:type="dxa"/>
          </w:tcPr>
          <w:p w14:paraId="369B1AE9" w14:textId="77777777" w:rsidR="005D1E6C" w:rsidRPr="005D1E6C" w:rsidRDefault="005D1E6C" w:rsidP="005D1E6C">
            <w:pPr>
              <w:spacing w:before="60"/>
              <w:ind w:left="-9"/>
              <w:jc w:val="both"/>
              <w:rPr>
                <w:rFonts w:ascii="Verdana" w:hAnsi="Verdana"/>
                <w:sz w:val="16"/>
                <w:lang w:val="de-CH"/>
              </w:rPr>
            </w:pPr>
          </w:p>
        </w:tc>
        <w:tc>
          <w:tcPr>
            <w:tcW w:w="5074" w:type="dxa"/>
          </w:tcPr>
          <w:p w14:paraId="77641CEE" w14:textId="66D8BD64" w:rsidR="005D1E6C" w:rsidRPr="00A36E7E" w:rsidRDefault="005D1E6C" w:rsidP="005D1E6C">
            <w:pPr>
              <w:pStyle w:val="ListParagraph"/>
              <w:spacing w:before="60"/>
              <w:ind w:left="720" w:hanging="369"/>
              <w:jc w:val="both"/>
              <w:rPr>
                <w:rFonts w:ascii="Verdana" w:hAnsi="Verdana"/>
                <w:sz w:val="16"/>
                <w:lang w:val="en-US"/>
              </w:rPr>
            </w:pPr>
            <w:r w:rsidRPr="00A36E7E">
              <w:rPr>
                <w:rFonts w:ascii="Verdana" w:hAnsi="Verdana"/>
                <w:sz w:val="16"/>
                <w:lang w:val="en-US"/>
              </w:rPr>
              <w:t>b.</w:t>
            </w:r>
            <w:r w:rsidRPr="00A36E7E">
              <w:rPr>
                <w:rFonts w:ascii="Verdana" w:hAnsi="Verdana"/>
                <w:sz w:val="16"/>
                <w:lang w:val="en-US"/>
              </w:rPr>
              <w:tab/>
            </w:r>
            <w:r w:rsidR="00F64B96">
              <w:rPr>
                <w:rFonts w:ascii="Verdana" w:hAnsi="Verdana"/>
                <w:sz w:val="16"/>
                <w:lang w:val="en-US"/>
              </w:rPr>
              <w:t>if</w:t>
            </w:r>
            <w:r w:rsidRPr="00A36E7E">
              <w:rPr>
                <w:rFonts w:ascii="Verdana" w:hAnsi="Verdana"/>
                <w:sz w:val="16"/>
                <w:lang w:val="en-US"/>
              </w:rPr>
              <w:t xml:space="preserve"> the new shares </w:t>
            </w:r>
            <w:r w:rsidR="00F64B96">
              <w:rPr>
                <w:rFonts w:ascii="Verdana" w:hAnsi="Verdana"/>
                <w:sz w:val="16"/>
                <w:lang w:val="en-US"/>
              </w:rPr>
              <w:t>are to be</w:t>
            </w:r>
            <w:r w:rsidRPr="00A36E7E">
              <w:rPr>
                <w:rFonts w:ascii="Verdana" w:hAnsi="Verdana"/>
                <w:sz w:val="16"/>
                <w:lang w:val="en-US"/>
              </w:rPr>
              <w:t xml:space="preserve"> used either to extend the shareholder base in conjunction with the listing of the shares on any stock exchange or for</w:t>
            </w:r>
            <w:r w:rsidR="005D368D">
              <w:rPr>
                <w:rFonts w:ascii="Verdana" w:hAnsi="Verdana"/>
                <w:sz w:val="16"/>
                <w:lang w:val="en-US"/>
              </w:rPr>
              <w:t xml:space="preserve"> the</w:t>
            </w:r>
            <w:r w:rsidRPr="00A36E7E">
              <w:rPr>
                <w:rFonts w:ascii="Verdana" w:hAnsi="Verdana"/>
                <w:sz w:val="16"/>
                <w:lang w:val="en-US"/>
              </w:rPr>
              <w:t xml:space="preserve"> investment by strategic partners;</w:t>
            </w:r>
          </w:p>
        </w:tc>
      </w:tr>
      <w:tr w:rsidR="00A36E7E" w:rsidRPr="00BA0AF1" w14:paraId="6161D97E" w14:textId="77777777" w:rsidTr="00CA5AC4">
        <w:tc>
          <w:tcPr>
            <w:tcW w:w="4962" w:type="dxa"/>
          </w:tcPr>
          <w:p w14:paraId="0AEA8237" w14:textId="52F74432" w:rsidR="00A36E7E" w:rsidRPr="00FA68A6" w:rsidRDefault="00A36E7E" w:rsidP="00A36E7E">
            <w:pPr>
              <w:pStyle w:val="BodyText2"/>
              <w:spacing w:before="60"/>
              <w:ind w:left="634" w:hanging="283"/>
              <w:rPr>
                <w:sz w:val="16"/>
              </w:rPr>
            </w:pPr>
            <w:r>
              <w:rPr>
                <w:sz w:val="16"/>
              </w:rPr>
              <w:t>c.</w:t>
            </w:r>
            <w:r>
              <w:rPr>
                <w:sz w:val="16"/>
              </w:rPr>
              <w:tab/>
            </w:r>
            <w:r w:rsidRPr="00FA68A6">
              <w:rPr>
                <w:sz w:val="16"/>
              </w:rPr>
              <w:t>für die Einräumung einer Mehrzuteilungsoption (</w:t>
            </w:r>
            <w:r w:rsidRPr="0089188F">
              <w:rPr>
                <w:i/>
                <w:iCs/>
                <w:sz w:val="16"/>
              </w:rPr>
              <w:t>Greenshoe</w:t>
            </w:r>
            <w:r w:rsidRPr="00FA68A6">
              <w:rPr>
                <w:sz w:val="16"/>
              </w:rPr>
              <w:t>) von bis zu 20</w:t>
            </w:r>
            <w:r>
              <w:rPr>
                <w:sz w:val="16"/>
              </w:rPr>
              <w:t>%</w:t>
            </w:r>
            <w:r w:rsidRPr="00FA68A6">
              <w:rPr>
                <w:sz w:val="16"/>
              </w:rPr>
              <w:t xml:space="preserve"> der zu platzierenden oder zu verkaufenden Aktien an die betreffenden Erstkäufer oder Festübernehmer im Rahmen einer Aktienplatzierung oder eines Aktienverkaufs; </w:t>
            </w:r>
          </w:p>
        </w:tc>
        <w:tc>
          <w:tcPr>
            <w:tcW w:w="596" w:type="dxa"/>
          </w:tcPr>
          <w:p w14:paraId="619238A4" w14:textId="77777777" w:rsidR="00A36E7E" w:rsidRDefault="00A36E7E" w:rsidP="00CA5AC4">
            <w:pPr>
              <w:jc w:val="center"/>
              <w:rPr>
                <w:rFonts w:ascii="Verdana" w:hAnsi="Verdana"/>
                <w:sz w:val="16"/>
                <w:lang w:val="de-DE"/>
              </w:rPr>
            </w:pPr>
          </w:p>
        </w:tc>
        <w:tc>
          <w:tcPr>
            <w:tcW w:w="5074" w:type="dxa"/>
          </w:tcPr>
          <w:p w14:paraId="4193E26A" w14:textId="730021F4" w:rsidR="00A36E7E" w:rsidRPr="00FA68A6" w:rsidRDefault="00A36E7E" w:rsidP="00A36E7E">
            <w:pPr>
              <w:pStyle w:val="ListParagraph"/>
              <w:spacing w:before="60"/>
              <w:ind w:left="720" w:hanging="369"/>
              <w:jc w:val="both"/>
              <w:rPr>
                <w:rFonts w:ascii="Verdana" w:hAnsi="Verdana"/>
                <w:sz w:val="16"/>
                <w:lang w:val="en-US"/>
              </w:rPr>
            </w:pPr>
            <w:r>
              <w:rPr>
                <w:rFonts w:ascii="Verdana" w:hAnsi="Verdana"/>
                <w:sz w:val="16"/>
                <w:lang w:val="en-US"/>
              </w:rPr>
              <w:t>c</w:t>
            </w:r>
            <w:proofErr w:type="gramStart"/>
            <w:r>
              <w:rPr>
                <w:rFonts w:ascii="Verdana" w:hAnsi="Verdana"/>
                <w:sz w:val="16"/>
                <w:lang w:val="en-US"/>
              </w:rPr>
              <w:t>.</w:t>
            </w:r>
            <w:r>
              <w:rPr>
                <w:rFonts w:ascii="Verdana" w:hAnsi="Verdana"/>
                <w:sz w:val="16"/>
                <w:lang w:val="en-US"/>
              </w:rPr>
              <w:tab/>
            </w:r>
            <w:r w:rsidRPr="00FA68A6">
              <w:rPr>
                <w:rFonts w:ascii="Verdana" w:hAnsi="Verdana"/>
                <w:sz w:val="16"/>
                <w:lang w:val="en-US"/>
              </w:rPr>
              <w:t>for purposes of</w:t>
            </w:r>
            <w:proofErr w:type="gramEnd"/>
            <w:r w:rsidRPr="00FA68A6">
              <w:rPr>
                <w:rFonts w:ascii="Verdana" w:hAnsi="Verdana"/>
                <w:sz w:val="16"/>
                <w:lang w:val="en-US"/>
              </w:rPr>
              <w:t xml:space="preserve"> granting an over-allotment option (</w:t>
            </w:r>
            <w:r w:rsidRPr="00A36E7E">
              <w:rPr>
                <w:rFonts w:ascii="Verdana" w:hAnsi="Verdana"/>
                <w:i/>
                <w:sz w:val="16"/>
                <w:lang w:val="en-US"/>
              </w:rPr>
              <w:t>Greenshoe</w:t>
            </w:r>
            <w:r w:rsidRPr="00FA68A6">
              <w:rPr>
                <w:rFonts w:ascii="Verdana" w:hAnsi="Verdana"/>
                <w:sz w:val="16"/>
                <w:lang w:val="en-US"/>
              </w:rPr>
              <w:t>) of up to 20</w:t>
            </w:r>
            <w:r>
              <w:rPr>
                <w:rFonts w:ascii="Verdana" w:hAnsi="Verdana"/>
                <w:sz w:val="16"/>
                <w:lang w:val="en-US"/>
              </w:rPr>
              <w:t>%</w:t>
            </w:r>
            <w:r w:rsidRPr="00FA68A6">
              <w:rPr>
                <w:rFonts w:ascii="Verdana" w:hAnsi="Verdana"/>
                <w:sz w:val="16"/>
                <w:lang w:val="en-US"/>
              </w:rPr>
              <w:t xml:space="preserve"> of the total number of Shares in </w:t>
            </w:r>
            <w:proofErr w:type="gramStart"/>
            <w:r w:rsidRPr="00FA68A6">
              <w:rPr>
                <w:rFonts w:ascii="Verdana" w:hAnsi="Verdana"/>
                <w:sz w:val="16"/>
                <w:lang w:val="en-US"/>
              </w:rPr>
              <w:t>a placement</w:t>
            </w:r>
            <w:proofErr w:type="gramEnd"/>
            <w:r w:rsidRPr="00FA68A6">
              <w:rPr>
                <w:rFonts w:ascii="Verdana" w:hAnsi="Verdana"/>
                <w:sz w:val="16"/>
                <w:lang w:val="en-US"/>
              </w:rPr>
              <w:t xml:space="preserve"> or sale of </w:t>
            </w:r>
            <w:r>
              <w:rPr>
                <w:rFonts w:ascii="Verdana" w:hAnsi="Verdana"/>
                <w:sz w:val="16"/>
                <w:lang w:val="en-US"/>
              </w:rPr>
              <w:t>s</w:t>
            </w:r>
            <w:r w:rsidRPr="00FA68A6">
              <w:rPr>
                <w:rFonts w:ascii="Verdana" w:hAnsi="Verdana"/>
                <w:sz w:val="16"/>
                <w:lang w:val="en-US"/>
              </w:rPr>
              <w:t xml:space="preserve">hares to the respective initial purchasers or underwriters; </w:t>
            </w:r>
          </w:p>
        </w:tc>
      </w:tr>
      <w:tr w:rsidR="005D1E6C" w:rsidRPr="00BA0AF1" w14:paraId="67B155B2" w14:textId="77777777" w:rsidTr="00846CDA">
        <w:tc>
          <w:tcPr>
            <w:tcW w:w="4962" w:type="dxa"/>
          </w:tcPr>
          <w:p w14:paraId="234526B8" w14:textId="4735FDC0" w:rsidR="005D1E6C" w:rsidRPr="005D1E6C" w:rsidRDefault="00A36E7E" w:rsidP="005D1E6C">
            <w:pPr>
              <w:pStyle w:val="BodyText2"/>
              <w:spacing w:before="60"/>
              <w:ind w:left="634" w:hanging="283"/>
              <w:rPr>
                <w:sz w:val="16"/>
              </w:rPr>
            </w:pPr>
            <w:r>
              <w:rPr>
                <w:sz w:val="16"/>
              </w:rPr>
              <w:t>d</w:t>
            </w:r>
            <w:r w:rsidR="005D1E6C" w:rsidRPr="005D1E6C">
              <w:rPr>
                <w:sz w:val="16"/>
              </w:rPr>
              <w:t>.</w:t>
            </w:r>
            <w:r w:rsidR="005D1E6C" w:rsidRPr="005D1E6C">
              <w:rPr>
                <w:sz w:val="16"/>
              </w:rPr>
              <w:tab/>
              <w:t>im Fall nationaler oder internationaler (auch privater) Platzierung von Aktien mindestens zu Marktkonditionen zum Zwecke einer raschen und flexiblen Beschaffung von Eigenkapital, welche ohne Beschränkung oder Ausschluss des Bezugsrechts nur schwer oder zu schlechteren Bedingungen möglich wäre;</w:t>
            </w:r>
            <w:r w:rsidR="00AD02F8" w:rsidRPr="00FA68A6">
              <w:rPr>
                <w:sz w:val="16"/>
              </w:rPr>
              <w:t xml:space="preserve"> oder</w:t>
            </w:r>
          </w:p>
        </w:tc>
        <w:tc>
          <w:tcPr>
            <w:tcW w:w="596" w:type="dxa"/>
          </w:tcPr>
          <w:p w14:paraId="2EEB1D9D" w14:textId="77777777" w:rsidR="005D1E6C" w:rsidRPr="005D1E6C" w:rsidRDefault="005D1E6C" w:rsidP="005D1E6C">
            <w:pPr>
              <w:spacing w:before="60"/>
              <w:ind w:left="-9"/>
              <w:jc w:val="both"/>
              <w:rPr>
                <w:rFonts w:ascii="Verdana" w:hAnsi="Verdana"/>
                <w:sz w:val="16"/>
                <w:lang w:val="de-CH"/>
              </w:rPr>
            </w:pPr>
          </w:p>
        </w:tc>
        <w:tc>
          <w:tcPr>
            <w:tcW w:w="5074" w:type="dxa"/>
          </w:tcPr>
          <w:p w14:paraId="0CDBCF6E" w14:textId="55A1FF65" w:rsidR="005D1E6C" w:rsidRPr="00A36E7E" w:rsidRDefault="00A36E7E" w:rsidP="005D1E6C">
            <w:pPr>
              <w:pStyle w:val="ListParagraph"/>
              <w:spacing w:before="60"/>
              <w:ind w:left="720" w:hanging="369"/>
              <w:jc w:val="both"/>
              <w:rPr>
                <w:rFonts w:ascii="Verdana" w:hAnsi="Verdana"/>
                <w:sz w:val="16"/>
                <w:lang w:val="en-US"/>
              </w:rPr>
            </w:pPr>
            <w:r>
              <w:rPr>
                <w:rFonts w:ascii="Verdana" w:hAnsi="Verdana"/>
                <w:sz w:val="16"/>
                <w:lang w:val="en-US"/>
              </w:rPr>
              <w:t>d</w:t>
            </w:r>
            <w:r w:rsidR="005D1E6C" w:rsidRPr="00A36E7E">
              <w:rPr>
                <w:rFonts w:ascii="Verdana" w:hAnsi="Verdana"/>
                <w:sz w:val="16"/>
                <w:lang w:val="en-US"/>
              </w:rPr>
              <w:t>.</w:t>
            </w:r>
            <w:r w:rsidR="005D1E6C" w:rsidRPr="00A36E7E">
              <w:rPr>
                <w:rFonts w:ascii="Verdana" w:hAnsi="Verdana"/>
                <w:sz w:val="16"/>
                <w:lang w:val="en-US"/>
              </w:rPr>
              <w:tab/>
            </w:r>
            <w:r w:rsidR="00F64B96">
              <w:rPr>
                <w:rFonts w:ascii="Verdana" w:hAnsi="Verdana"/>
                <w:sz w:val="16"/>
                <w:lang w:val="en-US"/>
              </w:rPr>
              <w:t>if</w:t>
            </w:r>
            <w:r w:rsidR="005D1E6C" w:rsidRPr="00A36E7E">
              <w:rPr>
                <w:rFonts w:ascii="Verdana" w:hAnsi="Verdana"/>
                <w:sz w:val="16"/>
                <w:lang w:val="en-US"/>
              </w:rPr>
              <w:t xml:space="preserve"> the new shares </w:t>
            </w:r>
            <w:r w:rsidR="00F64B96">
              <w:rPr>
                <w:rFonts w:ascii="Verdana" w:hAnsi="Verdana"/>
                <w:sz w:val="16"/>
                <w:lang w:val="en-US"/>
              </w:rPr>
              <w:t>are to be</w:t>
            </w:r>
            <w:r w:rsidR="005D1E6C" w:rsidRPr="00A36E7E">
              <w:rPr>
                <w:rFonts w:ascii="Verdana" w:hAnsi="Verdana"/>
                <w:sz w:val="16"/>
                <w:lang w:val="en-US"/>
              </w:rPr>
              <w:t xml:space="preserve"> placed nationally or internationally (including by way of private placement) at not less than market conditions for the purpose of raising equity in a swift and flexible manner that would be difficult to arrange or only at less </w:t>
            </w:r>
            <w:proofErr w:type="spellStart"/>
            <w:r w:rsidR="005D1E6C" w:rsidRPr="00A36E7E">
              <w:rPr>
                <w:rFonts w:ascii="Verdana" w:hAnsi="Verdana"/>
                <w:sz w:val="16"/>
                <w:lang w:val="en-US"/>
              </w:rPr>
              <w:t>favou</w:t>
            </w:r>
            <w:r w:rsidR="000505FC">
              <w:rPr>
                <w:rFonts w:ascii="Verdana" w:hAnsi="Verdana"/>
                <w:sz w:val="16"/>
                <w:lang w:val="en-US"/>
              </w:rPr>
              <w:t>r</w:t>
            </w:r>
            <w:r w:rsidR="005D1E6C" w:rsidRPr="00A36E7E">
              <w:rPr>
                <w:rFonts w:ascii="Verdana" w:hAnsi="Verdana"/>
                <w:sz w:val="16"/>
                <w:lang w:val="en-US"/>
              </w:rPr>
              <w:t>able</w:t>
            </w:r>
            <w:proofErr w:type="spellEnd"/>
            <w:r w:rsidR="005D1E6C" w:rsidRPr="00A36E7E">
              <w:rPr>
                <w:rFonts w:ascii="Verdana" w:hAnsi="Verdana"/>
                <w:sz w:val="16"/>
                <w:lang w:val="en-US"/>
              </w:rPr>
              <w:t xml:space="preserve"> conditions if the subscription rights to the new shares were not restricted or withdrawn;</w:t>
            </w:r>
            <w:r w:rsidR="000D43F6">
              <w:rPr>
                <w:rFonts w:ascii="Verdana" w:hAnsi="Verdana"/>
                <w:sz w:val="16"/>
                <w:lang w:val="en-US"/>
              </w:rPr>
              <w:t xml:space="preserve"> or</w:t>
            </w:r>
          </w:p>
        </w:tc>
      </w:tr>
      <w:tr w:rsidR="00A36E7E" w:rsidRPr="00BA0AF1" w14:paraId="77008D03" w14:textId="77777777" w:rsidTr="000505FC">
        <w:trPr>
          <w:trHeight w:val="485"/>
        </w:trPr>
        <w:tc>
          <w:tcPr>
            <w:tcW w:w="4962" w:type="dxa"/>
          </w:tcPr>
          <w:p w14:paraId="3913597C" w14:textId="277CA5DE" w:rsidR="00A36E7E" w:rsidRDefault="008229E3" w:rsidP="00A36E7E">
            <w:pPr>
              <w:pStyle w:val="BodyText2"/>
              <w:spacing w:before="60"/>
              <w:ind w:left="634" w:hanging="283"/>
              <w:rPr>
                <w:sz w:val="16"/>
              </w:rPr>
            </w:pPr>
            <w:r>
              <w:rPr>
                <w:sz w:val="16"/>
              </w:rPr>
              <w:t>e</w:t>
            </w:r>
            <w:r w:rsidR="000505FC" w:rsidRPr="000505FC">
              <w:rPr>
                <w:sz w:val="16"/>
              </w:rPr>
              <w:t>.</w:t>
            </w:r>
            <w:r w:rsidR="000505FC" w:rsidRPr="000505FC">
              <w:rPr>
                <w:sz w:val="16"/>
              </w:rPr>
              <w:tab/>
              <w:t>bei anderen wichtigen Gründen nach Art. 652b Abs. 2 OR</w:t>
            </w:r>
            <w:r w:rsidR="000505FC">
              <w:rPr>
                <w:sz w:val="16"/>
              </w:rPr>
              <w:t>.</w:t>
            </w:r>
          </w:p>
        </w:tc>
        <w:tc>
          <w:tcPr>
            <w:tcW w:w="596" w:type="dxa"/>
          </w:tcPr>
          <w:p w14:paraId="365CC96E" w14:textId="77777777" w:rsidR="00A36E7E" w:rsidRPr="00A36E7E" w:rsidRDefault="00A36E7E" w:rsidP="00A36E7E">
            <w:pPr>
              <w:pStyle w:val="BodyText2"/>
              <w:spacing w:before="60"/>
              <w:ind w:left="634" w:hanging="283"/>
              <w:rPr>
                <w:sz w:val="16"/>
              </w:rPr>
            </w:pPr>
          </w:p>
        </w:tc>
        <w:tc>
          <w:tcPr>
            <w:tcW w:w="5074" w:type="dxa"/>
          </w:tcPr>
          <w:p w14:paraId="20A86392" w14:textId="120FA272" w:rsidR="00A36E7E" w:rsidRPr="002C3320" w:rsidRDefault="008229E3" w:rsidP="000505FC">
            <w:pPr>
              <w:pStyle w:val="BodyText2"/>
              <w:spacing w:before="60"/>
              <w:ind w:left="634" w:hanging="283"/>
              <w:rPr>
                <w:sz w:val="16"/>
                <w:lang w:val="en-US"/>
              </w:rPr>
            </w:pPr>
            <w:r>
              <w:rPr>
                <w:sz w:val="16"/>
                <w:lang w:val="en-US"/>
              </w:rPr>
              <w:t>e</w:t>
            </w:r>
            <w:r w:rsidR="000505FC" w:rsidRPr="002C3320">
              <w:rPr>
                <w:sz w:val="16"/>
                <w:lang w:val="en-US"/>
              </w:rPr>
              <w:t>.</w:t>
            </w:r>
            <w:r w:rsidR="000505FC" w:rsidRPr="002C3320">
              <w:rPr>
                <w:sz w:val="16"/>
                <w:lang w:val="en-US"/>
              </w:rPr>
              <w:tab/>
              <w:t>in case of good cause in the sense of art. 652b CO.</w:t>
            </w:r>
          </w:p>
        </w:tc>
      </w:tr>
      <w:tr w:rsidR="002F537E" w:rsidRPr="00BA0AF1" w14:paraId="2DCD223A" w14:textId="77777777" w:rsidTr="00846CDA">
        <w:tc>
          <w:tcPr>
            <w:tcW w:w="4962" w:type="dxa"/>
          </w:tcPr>
          <w:p w14:paraId="66BC3BE0" w14:textId="71138C56" w:rsidR="002F537E" w:rsidRPr="002F537E" w:rsidRDefault="002F537E" w:rsidP="00C825D6">
            <w:pPr>
              <w:pStyle w:val="ListParagraph"/>
              <w:numPr>
                <w:ilvl w:val="0"/>
                <w:numId w:val="70"/>
              </w:numPr>
              <w:spacing w:before="60"/>
              <w:ind w:left="351"/>
              <w:jc w:val="both"/>
              <w:rPr>
                <w:rFonts w:ascii="Verdana" w:hAnsi="Verdana"/>
                <w:b/>
                <w:sz w:val="16"/>
                <w:lang w:val="de-CH"/>
              </w:rPr>
            </w:pPr>
            <w:r w:rsidRPr="00EC4F28">
              <w:rPr>
                <w:rFonts w:ascii="Verdana" w:hAnsi="Verdana"/>
                <w:sz w:val="16"/>
                <w:lang w:val="de-CH"/>
              </w:rPr>
              <w:t xml:space="preserve">Nach einer Nennwertveränderung der Aktien </w:t>
            </w:r>
            <w:r w:rsidR="008D7044" w:rsidRPr="00EC4F28">
              <w:rPr>
                <w:rFonts w:ascii="Verdana" w:hAnsi="Verdana"/>
                <w:sz w:val="16"/>
                <w:lang w:val="de-CH"/>
              </w:rPr>
              <w:t xml:space="preserve">im Rahmen des Kapitalbands </w:t>
            </w:r>
            <w:r w:rsidRPr="00EC4F28">
              <w:rPr>
                <w:rFonts w:ascii="Verdana" w:hAnsi="Verdana"/>
                <w:sz w:val="16"/>
                <w:lang w:val="de-CH"/>
              </w:rPr>
              <w:t>sind Aktien anschliessend mit gleichem Nennwert auszugeben wie die dann bestehenden Aktien.</w:t>
            </w:r>
          </w:p>
        </w:tc>
        <w:tc>
          <w:tcPr>
            <w:tcW w:w="596" w:type="dxa"/>
          </w:tcPr>
          <w:p w14:paraId="5E51EF58" w14:textId="77777777" w:rsidR="002F537E" w:rsidRDefault="002F537E" w:rsidP="002F537E">
            <w:pPr>
              <w:jc w:val="center"/>
              <w:rPr>
                <w:rFonts w:ascii="Verdana" w:hAnsi="Verdana"/>
                <w:sz w:val="16"/>
                <w:lang w:val="de-DE"/>
              </w:rPr>
            </w:pPr>
          </w:p>
        </w:tc>
        <w:tc>
          <w:tcPr>
            <w:tcW w:w="5074" w:type="dxa"/>
          </w:tcPr>
          <w:p w14:paraId="0857DD30" w14:textId="15FBB243"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EC4F28">
              <w:rPr>
                <w:rFonts w:ascii="Verdana" w:hAnsi="Verdana"/>
                <w:sz w:val="16"/>
                <w:lang w:val="en-US"/>
              </w:rPr>
              <w:t xml:space="preserve">After a change </w:t>
            </w:r>
            <w:proofErr w:type="gramStart"/>
            <w:r w:rsidRPr="00EC4F28">
              <w:rPr>
                <w:rFonts w:ascii="Verdana" w:hAnsi="Verdana"/>
                <w:sz w:val="16"/>
                <w:lang w:val="en-US"/>
              </w:rPr>
              <w:t>of</w:t>
            </w:r>
            <w:proofErr w:type="gramEnd"/>
            <w:r w:rsidRPr="00EC4F28">
              <w:rPr>
                <w:rFonts w:ascii="Verdana" w:hAnsi="Verdana"/>
                <w:sz w:val="16"/>
                <w:lang w:val="en-US"/>
              </w:rPr>
              <w:t xml:space="preserve"> the par value of the </w:t>
            </w:r>
            <w:r w:rsidR="00E52191">
              <w:rPr>
                <w:rFonts w:ascii="Verdana" w:hAnsi="Verdana"/>
                <w:sz w:val="16"/>
                <w:lang w:val="en-US"/>
              </w:rPr>
              <w:t>s</w:t>
            </w:r>
            <w:r w:rsidRPr="00EC4F28">
              <w:rPr>
                <w:rFonts w:ascii="Verdana" w:hAnsi="Verdana"/>
                <w:sz w:val="16"/>
                <w:lang w:val="en-US"/>
              </w:rPr>
              <w:t>hares</w:t>
            </w:r>
            <w:r w:rsidR="008D7044" w:rsidRPr="00EC4F28">
              <w:rPr>
                <w:rFonts w:ascii="Verdana" w:hAnsi="Verdana"/>
                <w:sz w:val="16"/>
                <w:lang w:val="en-US"/>
              </w:rPr>
              <w:t xml:space="preserve"> within the capital band</w:t>
            </w:r>
            <w:r w:rsidRPr="00EC4F28">
              <w:rPr>
                <w:rFonts w:ascii="Verdana" w:hAnsi="Verdana"/>
                <w:sz w:val="16"/>
                <w:lang w:val="en-US"/>
              </w:rPr>
              <w:t xml:space="preserve">, any </w:t>
            </w:r>
            <w:r w:rsidR="00E52191">
              <w:rPr>
                <w:rFonts w:ascii="Verdana" w:hAnsi="Verdana"/>
                <w:sz w:val="16"/>
                <w:lang w:val="en-US"/>
              </w:rPr>
              <w:t>s</w:t>
            </w:r>
            <w:r w:rsidRPr="00EC4F28">
              <w:rPr>
                <w:rFonts w:ascii="Verdana" w:hAnsi="Verdana"/>
                <w:sz w:val="16"/>
                <w:lang w:val="en-US"/>
              </w:rPr>
              <w:t xml:space="preserve">hares subsequently issued shall have the same par value as the then existing </w:t>
            </w:r>
            <w:r w:rsidR="00E52191">
              <w:rPr>
                <w:rFonts w:ascii="Verdana" w:hAnsi="Verdana"/>
                <w:sz w:val="16"/>
                <w:lang w:val="en-US"/>
              </w:rPr>
              <w:t>s</w:t>
            </w:r>
            <w:r w:rsidRPr="00EC4F28">
              <w:rPr>
                <w:rFonts w:ascii="Verdana" w:hAnsi="Verdana"/>
                <w:sz w:val="16"/>
                <w:lang w:val="en-US"/>
              </w:rPr>
              <w:t>hares.</w:t>
            </w:r>
          </w:p>
        </w:tc>
      </w:tr>
      <w:tr w:rsidR="002F537E" w:rsidRPr="00BA0AF1" w14:paraId="7709ADA2" w14:textId="77777777" w:rsidTr="00846CDA">
        <w:tc>
          <w:tcPr>
            <w:tcW w:w="4962" w:type="dxa"/>
          </w:tcPr>
          <w:p w14:paraId="756018A4" w14:textId="3B069967" w:rsidR="002F537E" w:rsidRPr="002F537E" w:rsidRDefault="002F537E" w:rsidP="00C825D6">
            <w:pPr>
              <w:pStyle w:val="ListParagraph"/>
              <w:numPr>
                <w:ilvl w:val="0"/>
                <w:numId w:val="70"/>
              </w:numPr>
              <w:spacing w:before="60"/>
              <w:ind w:left="351"/>
              <w:jc w:val="both"/>
              <w:rPr>
                <w:rFonts w:ascii="Verdana" w:hAnsi="Verdana"/>
                <w:b/>
                <w:sz w:val="16"/>
                <w:lang w:val="de-CH"/>
              </w:rPr>
            </w:pPr>
            <w:r w:rsidRPr="00EC4F28">
              <w:rPr>
                <w:rFonts w:ascii="Verdana" w:hAnsi="Verdana"/>
                <w:sz w:val="16"/>
                <w:lang w:val="de-CH"/>
              </w:rPr>
              <w:lastRenderedPageBreak/>
              <w:t xml:space="preserve">Erhöht sich das Aktienkapital aufgrund einer bedingten Kapitalerhöhung nach </w:t>
            </w:r>
            <w:r w:rsidRPr="00ED4294">
              <w:rPr>
                <w:rFonts w:ascii="Verdana" w:hAnsi="Verdana"/>
                <w:sz w:val="16"/>
                <w:lang w:val="de-CH"/>
              </w:rPr>
              <w:t>Art</w:t>
            </w:r>
            <w:r w:rsidR="0089188F" w:rsidRPr="00ED4294">
              <w:rPr>
                <w:rFonts w:ascii="Verdana" w:hAnsi="Verdana"/>
                <w:sz w:val="16"/>
                <w:lang w:val="de-CH"/>
              </w:rPr>
              <w:t>.</w:t>
            </w:r>
            <w:r w:rsidRPr="00ED4294">
              <w:rPr>
                <w:rFonts w:ascii="Verdana" w:hAnsi="Verdana"/>
                <w:sz w:val="16"/>
                <w:lang w:val="de-CH"/>
              </w:rPr>
              <w:t> 4 oder Art</w:t>
            </w:r>
            <w:r w:rsidR="0089188F" w:rsidRPr="00ED4294">
              <w:rPr>
                <w:rFonts w:ascii="Verdana" w:hAnsi="Verdana"/>
                <w:sz w:val="16"/>
                <w:lang w:val="de-CH"/>
              </w:rPr>
              <w:t>. </w:t>
            </w:r>
            <w:r w:rsidR="00CE64CE" w:rsidRPr="00ED4294">
              <w:rPr>
                <w:rFonts w:ascii="Verdana" w:hAnsi="Verdana"/>
                <w:sz w:val="16"/>
                <w:lang w:val="de-CH"/>
              </w:rPr>
              <w:t>5</w:t>
            </w:r>
            <w:r w:rsidRPr="00ED4294">
              <w:rPr>
                <w:rFonts w:ascii="Verdana" w:hAnsi="Verdana"/>
                <w:sz w:val="16"/>
                <w:lang w:val="de-CH"/>
              </w:rPr>
              <w:t xml:space="preserve"> dieser Statuten, so erhöhen sich die obere und die untere</w:t>
            </w:r>
            <w:r w:rsidRPr="00EC4F28">
              <w:rPr>
                <w:rFonts w:ascii="Verdana" w:hAnsi="Verdana"/>
                <w:sz w:val="16"/>
                <w:lang w:val="de-CH"/>
              </w:rPr>
              <w:t xml:space="preserve"> Grenze des Kapitalbands entsprechend dem Umfang der Erhöhung des Aktienkapitals.</w:t>
            </w:r>
            <w:r w:rsidR="00072F4F">
              <w:rPr>
                <w:rFonts w:ascii="Verdana" w:hAnsi="Verdana"/>
                <w:sz w:val="16"/>
                <w:lang w:val="de-CH"/>
              </w:rPr>
              <w:t xml:space="preserve"> </w:t>
            </w:r>
          </w:p>
        </w:tc>
        <w:tc>
          <w:tcPr>
            <w:tcW w:w="596" w:type="dxa"/>
          </w:tcPr>
          <w:p w14:paraId="029E54B3" w14:textId="77777777" w:rsidR="002F537E" w:rsidRDefault="002F537E" w:rsidP="002F537E">
            <w:pPr>
              <w:jc w:val="center"/>
              <w:rPr>
                <w:rFonts w:ascii="Verdana" w:hAnsi="Verdana"/>
                <w:sz w:val="16"/>
                <w:lang w:val="de-DE"/>
              </w:rPr>
            </w:pPr>
          </w:p>
        </w:tc>
        <w:tc>
          <w:tcPr>
            <w:tcW w:w="5074" w:type="dxa"/>
          </w:tcPr>
          <w:p w14:paraId="0F241A17" w14:textId="0737DCFD"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EC4F28">
              <w:rPr>
                <w:rFonts w:ascii="Verdana" w:hAnsi="Verdana"/>
                <w:sz w:val="16"/>
                <w:lang w:val="en-US"/>
              </w:rPr>
              <w:t xml:space="preserve">If the share capital increases </w:t>
            </w:r>
            <w:proofErr w:type="gramStart"/>
            <w:r w:rsidRPr="00EC4F28">
              <w:rPr>
                <w:rFonts w:ascii="Verdana" w:hAnsi="Verdana"/>
                <w:sz w:val="16"/>
                <w:lang w:val="en-US"/>
              </w:rPr>
              <w:t>as a result of</w:t>
            </w:r>
            <w:proofErr w:type="gramEnd"/>
            <w:r w:rsidRPr="00EC4F28">
              <w:rPr>
                <w:rFonts w:ascii="Verdana" w:hAnsi="Verdana"/>
                <w:sz w:val="16"/>
                <w:lang w:val="en-US"/>
              </w:rPr>
              <w:t xml:space="preserve"> a conditional capital increase </w:t>
            </w:r>
            <w:r w:rsidRPr="00ED4294">
              <w:rPr>
                <w:rFonts w:ascii="Verdana" w:hAnsi="Verdana"/>
                <w:sz w:val="16"/>
                <w:lang w:val="en-US"/>
              </w:rPr>
              <w:t>pursuant to Art</w:t>
            </w:r>
            <w:r w:rsidR="0089188F" w:rsidRPr="00ED4294">
              <w:rPr>
                <w:rFonts w:ascii="Verdana" w:hAnsi="Verdana"/>
                <w:sz w:val="16"/>
                <w:lang w:val="en-US"/>
              </w:rPr>
              <w:t>. </w:t>
            </w:r>
            <w:r w:rsidRPr="00ED4294">
              <w:rPr>
                <w:rFonts w:ascii="Verdana" w:hAnsi="Verdana"/>
                <w:sz w:val="16"/>
                <w:lang w:val="en-US"/>
              </w:rPr>
              <w:t>4 or Art</w:t>
            </w:r>
            <w:r w:rsidR="0089188F" w:rsidRPr="00ED4294">
              <w:rPr>
                <w:rFonts w:ascii="Verdana" w:hAnsi="Verdana"/>
                <w:sz w:val="16"/>
                <w:lang w:val="en-US"/>
              </w:rPr>
              <w:t>. </w:t>
            </w:r>
            <w:r w:rsidR="00CE64CE" w:rsidRPr="00ED4294">
              <w:rPr>
                <w:rFonts w:ascii="Verdana" w:hAnsi="Verdana"/>
                <w:sz w:val="16"/>
                <w:lang w:val="en-US"/>
              </w:rPr>
              <w:t>5</w:t>
            </w:r>
            <w:r w:rsidRPr="00EC4F28">
              <w:rPr>
                <w:rFonts w:ascii="Verdana" w:hAnsi="Verdana"/>
                <w:sz w:val="16"/>
                <w:lang w:val="en-US"/>
              </w:rPr>
              <w:t xml:space="preserve"> of these Articles of Association, the upper and lower limits of the capital band shall increase in an amount corresponding to such increase in the share capital.</w:t>
            </w:r>
            <w:r w:rsidR="00072F4F">
              <w:rPr>
                <w:rFonts w:ascii="Verdana" w:hAnsi="Verdana"/>
                <w:sz w:val="16"/>
                <w:lang w:val="en-US"/>
              </w:rPr>
              <w:t xml:space="preserve"> </w:t>
            </w:r>
          </w:p>
        </w:tc>
      </w:tr>
      <w:tr w:rsidR="002F537E" w:rsidRPr="00BA0AF1" w14:paraId="5075CB87" w14:textId="77777777" w:rsidTr="00846CDA">
        <w:tc>
          <w:tcPr>
            <w:tcW w:w="4962" w:type="dxa"/>
          </w:tcPr>
          <w:p w14:paraId="1FEEA05B" w14:textId="1A62EA55" w:rsidR="002F537E" w:rsidRPr="002F537E" w:rsidRDefault="002F537E" w:rsidP="00C825D6">
            <w:pPr>
              <w:pStyle w:val="ListParagraph"/>
              <w:numPr>
                <w:ilvl w:val="0"/>
                <w:numId w:val="70"/>
              </w:numPr>
              <w:spacing w:before="60"/>
              <w:ind w:left="351"/>
              <w:jc w:val="both"/>
              <w:rPr>
                <w:rFonts w:ascii="Verdana" w:hAnsi="Verdana"/>
                <w:b/>
                <w:sz w:val="16"/>
                <w:lang w:val="de-CH"/>
              </w:rPr>
            </w:pPr>
            <w:r w:rsidRPr="00EC4F28">
              <w:rPr>
                <w:rFonts w:ascii="Verdana" w:hAnsi="Verdana"/>
                <w:sz w:val="16"/>
                <w:lang w:val="de-CH"/>
              </w:rPr>
              <w:t xml:space="preserve">Bei einer Herabsetzung des Aktienkapitals im Rahmen des Kapitalbands legt der Verwaltungsrat, soweit erforderlich, die Verwendung des Herabsetzungsbetrags fest. Der Verwaltungsrat kann den Herabsetzungsbetrag auch zur teilweisen oder vollständigen Beseitigung einer Unterbilanz gemäss </w:t>
            </w:r>
            <w:r w:rsidRPr="000505FC">
              <w:rPr>
                <w:rFonts w:ascii="Verdana" w:hAnsi="Verdana"/>
                <w:sz w:val="16"/>
                <w:lang w:val="de-CH"/>
              </w:rPr>
              <w:t>Art. 653p OR verwenden oder das Aktienkapital gemäss Art. 653q OR</w:t>
            </w:r>
            <w:r w:rsidRPr="00EC4F28">
              <w:rPr>
                <w:rFonts w:ascii="Verdana" w:hAnsi="Verdana"/>
                <w:sz w:val="16"/>
                <w:lang w:val="de-CH"/>
              </w:rPr>
              <w:t xml:space="preserve"> gleichzeitig herabsetzen und mindestens auf den bisherigen Betrag erhöhen.</w:t>
            </w:r>
          </w:p>
        </w:tc>
        <w:tc>
          <w:tcPr>
            <w:tcW w:w="596" w:type="dxa"/>
          </w:tcPr>
          <w:p w14:paraId="208A884B" w14:textId="77777777" w:rsidR="002F537E" w:rsidRDefault="002F537E" w:rsidP="002F537E">
            <w:pPr>
              <w:jc w:val="center"/>
              <w:rPr>
                <w:rFonts w:ascii="Verdana" w:hAnsi="Verdana"/>
                <w:sz w:val="16"/>
                <w:lang w:val="de-DE"/>
              </w:rPr>
            </w:pPr>
          </w:p>
        </w:tc>
        <w:tc>
          <w:tcPr>
            <w:tcW w:w="5074" w:type="dxa"/>
          </w:tcPr>
          <w:p w14:paraId="7D9B78CA" w14:textId="277BC0C6" w:rsidR="002F537E" w:rsidRPr="00B25D6F" w:rsidRDefault="002F537E" w:rsidP="00C825D6">
            <w:pPr>
              <w:pStyle w:val="ListParagraph"/>
              <w:numPr>
                <w:ilvl w:val="0"/>
                <w:numId w:val="71"/>
              </w:numPr>
              <w:spacing w:before="60"/>
              <w:ind w:left="469" w:hanging="469"/>
              <w:jc w:val="both"/>
              <w:rPr>
                <w:rFonts w:ascii="Verdana" w:hAnsi="Verdana"/>
                <w:b/>
                <w:bCs/>
                <w:sz w:val="16"/>
                <w:lang w:val="en-US"/>
              </w:rPr>
            </w:pPr>
            <w:r w:rsidRPr="00EC4F28">
              <w:rPr>
                <w:rFonts w:ascii="Verdana" w:hAnsi="Verdana"/>
                <w:sz w:val="16"/>
                <w:lang w:val="en-US"/>
              </w:rPr>
              <w:t xml:space="preserve">In the event of a reduction of the share capital within the capital band, the Board </w:t>
            </w:r>
            <w:r w:rsidR="00E52191">
              <w:rPr>
                <w:rFonts w:ascii="Verdana" w:hAnsi="Verdana"/>
                <w:sz w:val="16"/>
                <w:lang w:val="en-US"/>
              </w:rPr>
              <w:t xml:space="preserve">of Directors </w:t>
            </w:r>
            <w:r w:rsidRPr="00EC4F28">
              <w:rPr>
                <w:rFonts w:ascii="Verdana" w:hAnsi="Verdana"/>
                <w:sz w:val="16"/>
                <w:lang w:val="en-US"/>
              </w:rPr>
              <w:t xml:space="preserve">shall, to the extent necessary, determine the use of the reduction amount. </w:t>
            </w:r>
            <w:r w:rsidRPr="002F537E">
              <w:rPr>
                <w:rFonts w:ascii="Verdana" w:hAnsi="Verdana"/>
                <w:sz w:val="16"/>
                <w:lang w:val="en-US"/>
              </w:rPr>
              <w:t>The Board</w:t>
            </w:r>
            <w:r w:rsidR="00E52191">
              <w:rPr>
                <w:rFonts w:ascii="Verdana" w:hAnsi="Verdana"/>
                <w:sz w:val="16"/>
                <w:lang w:val="en-US"/>
              </w:rPr>
              <w:t xml:space="preserve"> of Directors</w:t>
            </w:r>
            <w:r w:rsidRPr="002F537E">
              <w:rPr>
                <w:rFonts w:ascii="Verdana" w:hAnsi="Verdana"/>
                <w:sz w:val="16"/>
                <w:lang w:val="en-US"/>
              </w:rPr>
              <w:t xml:space="preserve"> may also use the reduction amount for the partial or full elimination of a share capital shortfall as provided for in article </w:t>
            </w:r>
            <w:r w:rsidRPr="000505FC">
              <w:rPr>
                <w:rFonts w:ascii="Verdana" w:hAnsi="Verdana"/>
                <w:sz w:val="16"/>
                <w:lang w:val="en-US"/>
              </w:rPr>
              <w:t>653p of the CO or may, as provided for in article 653q of the CO,</w:t>
            </w:r>
            <w:r w:rsidRPr="002F537E">
              <w:rPr>
                <w:rFonts w:ascii="Verdana" w:hAnsi="Verdana"/>
                <w:sz w:val="16"/>
                <w:lang w:val="en-US"/>
              </w:rPr>
              <w:t xml:space="preserve"> simultaneously reduce and increase the share capital to at least the previous amount.</w:t>
            </w:r>
          </w:p>
        </w:tc>
      </w:tr>
      <w:tr w:rsidR="006A7693" w:rsidRPr="00BA0AF1" w14:paraId="561255CA" w14:textId="77777777" w:rsidTr="00846CDA">
        <w:tc>
          <w:tcPr>
            <w:tcW w:w="4962" w:type="dxa"/>
          </w:tcPr>
          <w:p w14:paraId="6CBC694D" w14:textId="61735643" w:rsidR="006A7693" w:rsidRPr="00EC4F28" w:rsidRDefault="006A7693" w:rsidP="00C825D6">
            <w:pPr>
              <w:pStyle w:val="ListParagraph"/>
              <w:numPr>
                <w:ilvl w:val="0"/>
                <w:numId w:val="70"/>
              </w:numPr>
              <w:spacing w:before="60"/>
              <w:ind w:left="351"/>
              <w:jc w:val="both"/>
              <w:rPr>
                <w:rFonts w:ascii="Verdana" w:hAnsi="Verdana"/>
                <w:sz w:val="16"/>
                <w:lang w:val="de-CH"/>
              </w:rPr>
            </w:pPr>
            <w:r w:rsidRPr="006E755D">
              <w:rPr>
                <w:rFonts w:ascii="Verdana" w:hAnsi="Verdana"/>
                <w:sz w:val="16"/>
                <w:lang w:val="de-CH"/>
              </w:rPr>
              <w:t>Die Gesamtzahl der Namenaktien, welche (i)</w:t>
            </w:r>
            <w:r w:rsidR="007B115B">
              <w:rPr>
                <w:rFonts w:ascii="Verdana" w:hAnsi="Verdana"/>
                <w:sz w:val="16"/>
                <w:lang w:val="de-CH"/>
              </w:rPr>
              <w:t> </w:t>
            </w:r>
            <w:r w:rsidRPr="006E755D">
              <w:rPr>
                <w:rFonts w:ascii="Verdana" w:hAnsi="Verdana"/>
                <w:sz w:val="16"/>
                <w:lang w:val="de-CH"/>
              </w:rPr>
              <w:t xml:space="preserve">aus </w:t>
            </w:r>
            <w:r>
              <w:rPr>
                <w:rFonts w:ascii="Verdana" w:hAnsi="Verdana"/>
                <w:sz w:val="16"/>
                <w:lang w:val="de-CH"/>
              </w:rPr>
              <w:t>dem Kapitalband</w:t>
            </w:r>
            <w:r w:rsidRPr="006E755D">
              <w:rPr>
                <w:rFonts w:ascii="Verdana" w:hAnsi="Verdana"/>
                <w:sz w:val="16"/>
                <w:lang w:val="de-CH"/>
              </w:rPr>
              <w:t xml:space="preserve"> gemäss </w:t>
            </w:r>
            <w:r w:rsidR="00717A7C">
              <w:rPr>
                <w:rFonts w:ascii="Verdana" w:hAnsi="Verdana"/>
                <w:sz w:val="16"/>
                <w:lang w:val="de-CH"/>
              </w:rPr>
              <w:t xml:space="preserve">diesem </w:t>
            </w:r>
            <w:r w:rsidRPr="006E755D">
              <w:rPr>
                <w:rFonts w:ascii="Verdana" w:hAnsi="Verdana"/>
                <w:sz w:val="16"/>
                <w:lang w:val="de-CH"/>
              </w:rPr>
              <w:t>Art.</w:t>
            </w:r>
            <w:r w:rsidR="00717A7C">
              <w:rPr>
                <w:rFonts w:ascii="Verdana" w:hAnsi="Verdana"/>
                <w:sz w:val="16"/>
                <w:lang w:val="de-CH"/>
              </w:rPr>
              <w:t> </w:t>
            </w:r>
            <w:r w:rsidRPr="006E755D">
              <w:rPr>
                <w:rFonts w:ascii="Verdana" w:hAnsi="Verdana"/>
                <w:sz w:val="16"/>
                <w:lang w:val="de-CH"/>
              </w:rPr>
              <w:t xml:space="preserve">6 der Statuten unter Ausschluss der Bezugsrechte der Aktionäre </w:t>
            </w:r>
            <w:r w:rsidR="007B115B">
              <w:rPr>
                <w:rFonts w:ascii="Verdana" w:hAnsi="Verdana"/>
                <w:sz w:val="16"/>
                <w:lang w:val="de-CH"/>
              </w:rPr>
              <w:t>und (ii) </w:t>
            </w:r>
            <w:r w:rsidR="007B115B" w:rsidRPr="006E755D">
              <w:rPr>
                <w:rFonts w:ascii="Verdana" w:hAnsi="Verdana"/>
                <w:sz w:val="16"/>
                <w:lang w:val="de-CH"/>
              </w:rPr>
              <w:t>aus bedingtem Aktienkapital gemäss Art.</w:t>
            </w:r>
            <w:r w:rsidR="00717A7C">
              <w:rPr>
                <w:rFonts w:ascii="Verdana" w:hAnsi="Verdana"/>
                <w:sz w:val="16"/>
                <w:lang w:val="de-CH"/>
              </w:rPr>
              <w:t> </w:t>
            </w:r>
            <w:r w:rsidR="007B115B" w:rsidRPr="006E755D">
              <w:rPr>
                <w:rFonts w:ascii="Verdana" w:hAnsi="Verdana"/>
                <w:sz w:val="16"/>
                <w:lang w:val="de-CH"/>
              </w:rPr>
              <w:t xml:space="preserve">5 unter Ausschluss der Vorwegzeichnungsrechte der Aktionäre für aktiengebundene Finanzierungsinstrumente </w:t>
            </w:r>
            <w:r w:rsidR="007B115B">
              <w:rPr>
                <w:rFonts w:ascii="Verdana" w:hAnsi="Verdana"/>
                <w:sz w:val="16"/>
                <w:lang w:val="de-CH"/>
              </w:rPr>
              <w:t xml:space="preserve">neu </w:t>
            </w:r>
            <w:r w:rsidRPr="006E755D">
              <w:rPr>
                <w:rFonts w:ascii="Verdana" w:hAnsi="Verdana"/>
                <w:sz w:val="16"/>
                <w:lang w:val="de-CH"/>
              </w:rPr>
              <w:t xml:space="preserve">ausgegeben werden, darf </w:t>
            </w:r>
            <w:r>
              <w:rPr>
                <w:rFonts w:ascii="Verdana" w:hAnsi="Verdana"/>
                <w:sz w:val="16"/>
                <w:lang w:val="de-CH"/>
              </w:rPr>
              <w:t xml:space="preserve">bis zum </w:t>
            </w:r>
            <w:r w:rsidR="00317A7F">
              <w:rPr>
                <w:rFonts w:ascii="Verdana" w:hAnsi="Verdana"/>
                <w:sz w:val="16"/>
                <w:lang w:val="de-CH"/>
              </w:rPr>
              <w:t>16</w:t>
            </w:r>
            <w:r>
              <w:rPr>
                <w:rFonts w:ascii="Verdana" w:hAnsi="Verdana"/>
                <w:sz w:val="16"/>
                <w:lang w:val="de-CH"/>
              </w:rPr>
              <w:t>.</w:t>
            </w:r>
            <w:r w:rsidRPr="00013D7C">
              <w:rPr>
                <w:rFonts w:ascii="Verdana" w:hAnsi="Verdana"/>
                <w:sz w:val="16"/>
                <w:lang w:val="de-CH"/>
              </w:rPr>
              <w:t> April </w:t>
            </w:r>
            <w:r w:rsidR="005D382D" w:rsidRPr="002E691C">
              <w:rPr>
                <w:rFonts w:ascii="Verdana" w:hAnsi="Verdana"/>
                <w:sz w:val="16"/>
                <w:lang w:val="de-CH"/>
              </w:rPr>
              <w:t>20</w:t>
            </w:r>
            <w:r w:rsidR="00317A7F">
              <w:rPr>
                <w:rFonts w:ascii="Verdana" w:hAnsi="Verdana"/>
                <w:sz w:val="16"/>
                <w:lang w:val="de-CH"/>
              </w:rPr>
              <w:t>31</w:t>
            </w:r>
            <w:r w:rsidRPr="00013D7C">
              <w:rPr>
                <w:rFonts w:ascii="Verdana" w:hAnsi="Verdana"/>
                <w:sz w:val="16"/>
                <w:lang w:val="de-CH"/>
              </w:rPr>
              <w:t xml:space="preserve"> </w:t>
            </w:r>
            <w:r w:rsidRPr="002E691C">
              <w:rPr>
                <w:rFonts w:ascii="Verdana" w:hAnsi="Verdana"/>
                <w:sz w:val="16"/>
                <w:lang w:val="de-CH"/>
              </w:rPr>
              <w:t>38'227'087</w:t>
            </w:r>
            <w:r w:rsidRPr="006A7693">
              <w:rPr>
                <w:rFonts w:ascii="Verdana" w:hAnsi="Verdana"/>
                <w:bCs/>
                <w:sz w:val="16"/>
                <w:lang w:val="de-CH"/>
              </w:rPr>
              <w:t xml:space="preserve"> Namenaktien </w:t>
            </w:r>
            <w:r w:rsidRPr="006E755D">
              <w:rPr>
                <w:rFonts w:ascii="Verdana" w:hAnsi="Verdana"/>
                <w:sz w:val="16"/>
                <w:lang w:val="de-CH"/>
              </w:rPr>
              <w:t>nicht überschreiten.</w:t>
            </w:r>
          </w:p>
        </w:tc>
        <w:tc>
          <w:tcPr>
            <w:tcW w:w="596" w:type="dxa"/>
          </w:tcPr>
          <w:p w14:paraId="1320A49E" w14:textId="77777777" w:rsidR="006A7693" w:rsidRDefault="006A7693" w:rsidP="002F537E">
            <w:pPr>
              <w:jc w:val="center"/>
              <w:rPr>
                <w:rFonts w:ascii="Verdana" w:hAnsi="Verdana"/>
                <w:sz w:val="16"/>
                <w:lang w:val="de-DE"/>
              </w:rPr>
            </w:pPr>
          </w:p>
        </w:tc>
        <w:tc>
          <w:tcPr>
            <w:tcW w:w="5074" w:type="dxa"/>
          </w:tcPr>
          <w:p w14:paraId="6657EC55" w14:textId="2F2EAF05" w:rsidR="006A7693" w:rsidRPr="00EC4F28" w:rsidRDefault="006A7693" w:rsidP="00C825D6">
            <w:pPr>
              <w:pStyle w:val="ListParagraph"/>
              <w:numPr>
                <w:ilvl w:val="0"/>
                <w:numId w:val="71"/>
              </w:numPr>
              <w:spacing w:before="60"/>
              <w:ind w:left="469" w:hanging="469"/>
              <w:jc w:val="both"/>
              <w:rPr>
                <w:rFonts w:ascii="Verdana" w:hAnsi="Verdana"/>
                <w:sz w:val="16"/>
                <w:lang w:val="en-US"/>
              </w:rPr>
            </w:pPr>
            <w:r w:rsidRPr="006E755D">
              <w:rPr>
                <w:rFonts w:ascii="Verdana" w:hAnsi="Verdana"/>
                <w:sz w:val="16"/>
                <w:lang w:val="en-US"/>
              </w:rPr>
              <w:t xml:space="preserve">The total </w:t>
            </w:r>
            <w:r w:rsidR="00717A7C">
              <w:rPr>
                <w:rFonts w:ascii="Verdana" w:hAnsi="Verdana"/>
                <w:sz w:val="16"/>
                <w:lang w:val="en-US"/>
              </w:rPr>
              <w:t xml:space="preserve">number </w:t>
            </w:r>
            <w:r w:rsidRPr="006E755D">
              <w:rPr>
                <w:rFonts w:ascii="Verdana" w:hAnsi="Verdana"/>
                <w:sz w:val="16"/>
                <w:lang w:val="en-US"/>
              </w:rPr>
              <w:t>of registered shares issued from (</w:t>
            </w:r>
            <w:proofErr w:type="spellStart"/>
            <w:r w:rsidRPr="006E755D">
              <w:rPr>
                <w:rFonts w:ascii="Verdana" w:hAnsi="Verdana"/>
                <w:sz w:val="16"/>
                <w:lang w:val="en-US"/>
              </w:rPr>
              <w:t>i</w:t>
            </w:r>
            <w:proofErr w:type="spellEnd"/>
            <w:r w:rsidRPr="006E755D">
              <w:rPr>
                <w:rFonts w:ascii="Verdana" w:hAnsi="Verdana"/>
                <w:sz w:val="16"/>
                <w:lang w:val="en-US"/>
              </w:rPr>
              <w:t>)</w:t>
            </w:r>
            <w:r w:rsidR="007B115B">
              <w:rPr>
                <w:rFonts w:ascii="Verdana" w:hAnsi="Verdana"/>
                <w:sz w:val="16"/>
                <w:lang w:val="en-US"/>
              </w:rPr>
              <w:t> </w:t>
            </w:r>
            <w:r w:rsidRPr="006E755D">
              <w:rPr>
                <w:rFonts w:ascii="Verdana" w:hAnsi="Verdana"/>
                <w:sz w:val="16"/>
                <w:lang w:val="en-US"/>
              </w:rPr>
              <w:t xml:space="preserve">the </w:t>
            </w:r>
            <w:r>
              <w:rPr>
                <w:rFonts w:ascii="Verdana" w:hAnsi="Verdana"/>
                <w:sz w:val="16"/>
                <w:lang w:val="en-US"/>
              </w:rPr>
              <w:t>capital band</w:t>
            </w:r>
            <w:r w:rsidRPr="006E755D">
              <w:rPr>
                <w:rFonts w:ascii="Verdana" w:hAnsi="Verdana"/>
                <w:sz w:val="16"/>
                <w:lang w:val="en-US"/>
              </w:rPr>
              <w:t xml:space="preserve"> according to </w:t>
            </w:r>
            <w:r w:rsidR="007B115B">
              <w:rPr>
                <w:rFonts w:ascii="Verdana" w:hAnsi="Verdana"/>
                <w:sz w:val="16"/>
                <w:lang w:val="en-US"/>
              </w:rPr>
              <w:t xml:space="preserve">this </w:t>
            </w:r>
            <w:r w:rsidRPr="006E755D">
              <w:rPr>
                <w:rFonts w:ascii="Verdana" w:hAnsi="Verdana"/>
                <w:sz w:val="16"/>
                <w:lang w:val="en-US"/>
              </w:rPr>
              <w:t>Art.</w:t>
            </w:r>
            <w:r w:rsidR="00717A7C">
              <w:rPr>
                <w:rFonts w:ascii="Verdana" w:hAnsi="Verdana"/>
                <w:sz w:val="16"/>
                <w:lang w:val="en-US"/>
              </w:rPr>
              <w:t> </w:t>
            </w:r>
            <w:r w:rsidRPr="006E755D">
              <w:rPr>
                <w:rFonts w:ascii="Verdana" w:hAnsi="Verdana"/>
                <w:sz w:val="16"/>
                <w:lang w:val="en-US"/>
              </w:rPr>
              <w:t xml:space="preserve">6 </w:t>
            </w:r>
            <w:r w:rsidR="007B115B" w:rsidRPr="006E755D">
              <w:rPr>
                <w:rFonts w:ascii="Verdana" w:hAnsi="Verdana"/>
                <w:sz w:val="16"/>
                <w:lang w:val="en-US"/>
              </w:rPr>
              <w:t xml:space="preserve">where the shareholders' subscription rights </w:t>
            </w:r>
            <w:r w:rsidR="007B115B">
              <w:rPr>
                <w:rFonts w:ascii="Verdana" w:hAnsi="Verdana"/>
                <w:sz w:val="16"/>
                <w:lang w:val="en-US"/>
              </w:rPr>
              <w:t>are</w:t>
            </w:r>
            <w:r w:rsidR="007B115B" w:rsidRPr="006E755D">
              <w:rPr>
                <w:rFonts w:ascii="Verdana" w:hAnsi="Verdana"/>
                <w:sz w:val="16"/>
                <w:lang w:val="en-US"/>
              </w:rPr>
              <w:t xml:space="preserve"> excluded </w:t>
            </w:r>
            <w:r w:rsidR="007B115B">
              <w:rPr>
                <w:rFonts w:ascii="Verdana" w:hAnsi="Verdana"/>
                <w:sz w:val="16"/>
                <w:lang w:val="en-US"/>
              </w:rPr>
              <w:t>and (ii) </w:t>
            </w:r>
            <w:r w:rsidR="007B115B" w:rsidRPr="006E755D">
              <w:rPr>
                <w:rFonts w:ascii="Verdana" w:hAnsi="Verdana"/>
                <w:sz w:val="16"/>
                <w:lang w:val="en-US"/>
              </w:rPr>
              <w:t>the conditional share capital according to Art.</w:t>
            </w:r>
            <w:r w:rsidR="00717A7C">
              <w:rPr>
                <w:rFonts w:ascii="Verdana" w:hAnsi="Verdana"/>
                <w:sz w:val="16"/>
                <w:lang w:val="en-US"/>
              </w:rPr>
              <w:t> </w:t>
            </w:r>
            <w:r w:rsidR="007B115B" w:rsidRPr="006E755D">
              <w:rPr>
                <w:rFonts w:ascii="Verdana" w:hAnsi="Verdana"/>
                <w:sz w:val="16"/>
                <w:lang w:val="en-US"/>
              </w:rPr>
              <w:t xml:space="preserve">5 where the shareholders' advance subscription rights </w:t>
            </w:r>
            <w:r w:rsidR="00717A7C">
              <w:rPr>
                <w:rFonts w:ascii="Verdana" w:hAnsi="Verdana"/>
                <w:sz w:val="16"/>
                <w:lang w:val="en-US"/>
              </w:rPr>
              <w:t>for</w:t>
            </w:r>
            <w:r w:rsidR="007B115B" w:rsidRPr="006E755D">
              <w:rPr>
                <w:rFonts w:ascii="Verdana" w:hAnsi="Verdana"/>
                <w:sz w:val="16"/>
                <w:lang w:val="en-US"/>
              </w:rPr>
              <w:t xml:space="preserve"> Equity-Linked Financing Instruments </w:t>
            </w:r>
            <w:r w:rsidR="007B115B">
              <w:rPr>
                <w:rFonts w:ascii="Verdana" w:hAnsi="Verdana"/>
                <w:sz w:val="16"/>
                <w:lang w:val="en-US"/>
              </w:rPr>
              <w:t>are</w:t>
            </w:r>
            <w:r w:rsidR="007B115B" w:rsidRPr="006E755D">
              <w:rPr>
                <w:rFonts w:ascii="Verdana" w:hAnsi="Verdana"/>
                <w:sz w:val="16"/>
                <w:lang w:val="en-US"/>
              </w:rPr>
              <w:t xml:space="preserve"> excluded</w:t>
            </w:r>
            <w:r w:rsidR="007B115B">
              <w:rPr>
                <w:rFonts w:ascii="Verdana" w:hAnsi="Verdana"/>
                <w:sz w:val="16"/>
                <w:lang w:val="en-US"/>
              </w:rPr>
              <w:t xml:space="preserve"> </w:t>
            </w:r>
            <w:r w:rsidRPr="006E755D">
              <w:rPr>
                <w:rFonts w:ascii="Verdana" w:hAnsi="Verdana"/>
                <w:sz w:val="16"/>
                <w:lang w:val="en-US"/>
              </w:rPr>
              <w:t xml:space="preserve">may not exceed </w:t>
            </w:r>
            <w:r w:rsidRPr="002E691C">
              <w:rPr>
                <w:rFonts w:ascii="Verdana" w:hAnsi="Verdana"/>
                <w:sz w:val="16"/>
                <w:lang w:val="en-US"/>
              </w:rPr>
              <w:t>38'227'087</w:t>
            </w:r>
            <w:r w:rsidRPr="002C3320">
              <w:rPr>
                <w:rFonts w:ascii="Verdana" w:hAnsi="Verdana"/>
                <w:bCs/>
                <w:sz w:val="16"/>
                <w:lang w:val="en-US"/>
              </w:rPr>
              <w:t xml:space="preserve"> </w:t>
            </w:r>
            <w:r w:rsidR="005C7E52">
              <w:rPr>
                <w:rFonts w:ascii="Verdana" w:hAnsi="Verdana"/>
                <w:bCs/>
                <w:sz w:val="16"/>
                <w:lang w:val="en-US"/>
              </w:rPr>
              <w:t xml:space="preserve">registered </w:t>
            </w:r>
            <w:r>
              <w:rPr>
                <w:rFonts w:ascii="Verdana" w:hAnsi="Verdana"/>
                <w:sz w:val="16"/>
                <w:lang w:val="en-US"/>
              </w:rPr>
              <w:t>s</w:t>
            </w:r>
            <w:r w:rsidRPr="006E755D">
              <w:rPr>
                <w:rFonts w:ascii="Verdana" w:hAnsi="Verdana"/>
                <w:sz w:val="16"/>
                <w:lang w:val="en-US"/>
              </w:rPr>
              <w:t xml:space="preserve">hares up to </w:t>
            </w:r>
            <w:r w:rsidR="00317A7F">
              <w:rPr>
                <w:rFonts w:ascii="Verdana" w:hAnsi="Verdana"/>
                <w:sz w:val="16"/>
                <w:lang w:val="en-US"/>
              </w:rPr>
              <w:t>16</w:t>
            </w:r>
            <w:r w:rsidRPr="006A7693">
              <w:rPr>
                <w:rFonts w:ascii="Verdana" w:hAnsi="Verdana"/>
                <w:sz w:val="16"/>
                <w:lang w:val="en-US"/>
              </w:rPr>
              <w:t xml:space="preserve"> April </w:t>
            </w:r>
            <w:r w:rsidR="005D382D" w:rsidRPr="00EC5AD2">
              <w:rPr>
                <w:rFonts w:ascii="Verdana" w:hAnsi="Verdana"/>
                <w:sz w:val="16"/>
                <w:lang w:val="en-US"/>
              </w:rPr>
              <w:t>20</w:t>
            </w:r>
            <w:r w:rsidR="00317A7F">
              <w:rPr>
                <w:rFonts w:ascii="Verdana" w:hAnsi="Verdana"/>
                <w:sz w:val="16"/>
                <w:lang w:val="en-US"/>
              </w:rPr>
              <w:t>31</w:t>
            </w:r>
            <w:r w:rsidRPr="006E755D">
              <w:rPr>
                <w:rFonts w:ascii="Verdana" w:hAnsi="Verdana"/>
                <w:sz w:val="16"/>
                <w:lang w:val="en-US"/>
              </w:rPr>
              <w:t>.</w:t>
            </w:r>
          </w:p>
        </w:tc>
      </w:tr>
      <w:tr w:rsidR="005C7E52" w:rsidRPr="00BA0AF1" w14:paraId="060C4851" w14:textId="77777777" w:rsidTr="00846CDA">
        <w:tc>
          <w:tcPr>
            <w:tcW w:w="4962" w:type="dxa"/>
          </w:tcPr>
          <w:p w14:paraId="6828966B" w14:textId="4D86406B" w:rsidR="005C7E52" w:rsidRPr="006E755D" w:rsidRDefault="005C7E52" w:rsidP="00C825D6">
            <w:pPr>
              <w:pStyle w:val="ListParagraph"/>
              <w:numPr>
                <w:ilvl w:val="0"/>
                <w:numId w:val="70"/>
              </w:numPr>
              <w:spacing w:before="60"/>
              <w:ind w:left="351"/>
              <w:jc w:val="both"/>
              <w:rPr>
                <w:rFonts w:ascii="Verdana" w:hAnsi="Verdana"/>
                <w:sz w:val="16"/>
                <w:lang w:val="de-CH"/>
              </w:rPr>
            </w:pPr>
            <w:r w:rsidRPr="006E755D">
              <w:rPr>
                <w:rFonts w:ascii="Verdana" w:hAnsi="Verdana"/>
                <w:sz w:val="16"/>
                <w:lang w:val="de-CH"/>
              </w:rPr>
              <w:t xml:space="preserve">Die Gesamtzahl der Namenaktien, welche </w:t>
            </w:r>
            <w:r>
              <w:rPr>
                <w:rFonts w:ascii="Verdana" w:hAnsi="Verdana"/>
                <w:sz w:val="16"/>
                <w:lang w:val="de-CH"/>
              </w:rPr>
              <w:t>gestützt auf das Kapitalband</w:t>
            </w:r>
            <w:r w:rsidRPr="006E755D">
              <w:rPr>
                <w:rFonts w:ascii="Verdana" w:hAnsi="Verdana"/>
                <w:sz w:val="16"/>
                <w:lang w:val="de-CH"/>
              </w:rPr>
              <w:t xml:space="preserve"> gemäss </w:t>
            </w:r>
            <w:r>
              <w:rPr>
                <w:rFonts w:ascii="Verdana" w:hAnsi="Verdana"/>
                <w:sz w:val="16"/>
                <w:lang w:val="de-CH"/>
              </w:rPr>
              <w:t xml:space="preserve">diesem </w:t>
            </w:r>
            <w:r w:rsidRPr="006E755D">
              <w:rPr>
                <w:rFonts w:ascii="Verdana" w:hAnsi="Verdana"/>
                <w:sz w:val="16"/>
                <w:lang w:val="de-CH"/>
              </w:rPr>
              <w:t>Art.</w:t>
            </w:r>
            <w:r>
              <w:rPr>
                <w:rFonts w:ascii="Verdana" w:hAnsi="Verdana"/>
                <w:sz w:val="16"/>
                <w:lang w:val="de-CH"/>
              </w:rPr>
              <w:t> </w:t>
            </w:r>
            <w:r w:rsidRPr="006E755D">
              <w:rPr>
                <w:rFonts w:ascii="Verdana" w:hAnsi="Verdana"/>
                <w:sz w:val="16"/>
                <w:lang w:val="de-CH"/>
              </w:rPr>
              <w:t>6 der Statuten</w:t>
            </w:r>
            <w:r>
              <w:rPr>
                <w:rFonts w:ascii="Verdana" w:hAnsi="Verdana"/>
                <w:sz w:val="16"/>
                <w:lang w:val="de-CH"/>
              </w:rPr>
              <w:t xml:space="preserve"> vernichtet wird, darf </w:t>
            </w:r>
            <w:r w:rsidRPr="002E691C">
              <w:rPr>
                <w:rFonts w:ascii="Verdana" w:hAnsi="Verdana"/>
                <w:sz w:val="16"/>
                <w:lang w:val="de-CH"/>
              </w:rPr>
              <w:t>38'227'087</w:t>
            </w:r>
            <w:r w:rsidRPr="006A7693">
              <w:rPr>
                <w:rFonts w:ascii="Verdana" w:hAnsi="Verdana"/>
                <w:bCs/>
                <w:sz w:val="16"/>
                <w:lang w:val="de-CH"/>
              </w:rPr>
              <w:t xml:space="preserve"> Namenaktien </w:t>
            </w:r>
            <w:r w:rsidRPr="006E755D">
              <w:rPr>
                <w:rFonts w:ascii="Verdana" w:hAnsi="Verdana"/>
                <w:sz w:val="16"/>
                <w:lang w:val="de-CH"/>
              </w:rPr>
              <w:t>nicht überschreiten.</w:t>
            </w:r>
          </w:p>
        </w:tc>
        <w:tc>
          <w:tcPr>
            <w:tcW w:w="596" w:type="dxa"/>
          </w:tcPr>
          <w:p w14:paraId="781F790F" w14:textId="77777777" w:rsidR="005C7E52" w:rsidRDefault="005C7E52" w:rsidP="002F537E">
            <w:pPr>
              <w:jc w:val="center"/>
              <w:rPr>
                <w:rFonts w:ascii="Verdana" w:hAnsi="Verdana"/>
                <w:sz w:val="16"/>
                <w:lang w:val="de-DE"/>
              </w:rPr>
            </w:pPr>
          </w:p>
        </w:tc>
        <w:tc>
          <w:tcPr>
            <w:tcW w:w="5074" w:type="dxa"/>
          </w:tcPr>
          <w:p w14:paraId="6A742DC2" w14:textId="6BF88B8A" w:rsidR="005C7E52" w:rsidRPr="006E755D" w:rsidRDefault="005C7E52" w:rsidP="00C825D6">
            <w:pPr>
              <w:pStyle w:val="ListParagraph"/>
              <w:numPr>
                <w:ilvl w:val="0"/>
                <w:numId w:val="71"/>
              </w:numPr>
              <w:spacing w:before="60"/>
              <w:ind w:left="469" w:hanging="469"/>
              <w:jc w:val="both"/>
              <w:rPr>
                <w:rFonts w:ascii="Verdana" w:hAnsi="Verdana"/>
                <w:sz w:val="16"/>
                <w:lang w:val="en-US"/>
              </w:rPr>
            </w:pPr>
            <w:r w:rsidRPr="006E755D">
              <w:rPr>
                <w:rFonts w:ascii="Verdana" w:hAnsi="Verdana"/>
                <w:sz w:val="16"/>
                <w:lang w:val="en-US"/>
              </w:rPr>
              <w:t xml:space="preserve">The total </w:t>
            </w:r>
            <w:r>
              <w:rPr>
                <w:rFonts w:ascii="Verdana" w:hAnsi="Verdana"/>
                <w:sz w:val="16"/>
                <w:lang w:val="en-US"/>
              </w:rPr>
              <w:t xml:space="preserve">number </w:t>
            </w:r>
            <w:r w:rsidRPr="006E755D">
              <w:rPr>
                <w:rFonts w:ascii="Verdana" w:hAnsi="Verdana"/>
                <w:sz w:val="16"/>
                <w:lang w:val="en-US"/>
              </w:rPr>
              <w:t xml:space="preserve">of registered shares </w:t>
            </w:r>
            <w:r>
              <w:rPr>
                <w:rFonts w:ascii="Verdana" w:hAnsi="Verdana"/>
                <w:sz w:val="16"/>
                <w:lang w:val="en-US"/>
              </w:rPr>
              <w:t xml:space="preserve">cancelled based on </w:t>
            </w:r>
            <w:r w:rsidRPr="006E755D">
              <w:rPr>
                <w:rFonts w:ascii="Verdana" w:hAnsi="Verdana"/>
                <w:sz w:val="16"/>
                <w:lang w:val="en-US"/>
              </w:rPr>
              <w:t xml:space="preserve">the </w:t>
            </w:r>
            <w:r>
              <w:rPr>
                <w:rFonts w:ascii="Verdana" w:hAnsi="Verdana"/>
                <w:sz w:val="16"/>
                <w:lang w:val="en-US"/>
              </w:rPr>
              <w:t xml:space="preserve">capital </w:t>
            </w:r>
            <w:proofErr w:type="gramStart"/>
            <w:r>
              <w:rPr>
                <w:rFonts w:ascii="Verdana" w:hAnsi="Verdana"/>
                <w:sz w:val="16"/>
                <w:lang w:val="en-US"/>
              </w:rPr>
              <w:t>band</w:t>
            </w:r>
            <w:r w:rsidRPr="006E755D">
              <w:rPr>
                <w:rFonts w:ascii="Verdana" w:hAnsi="Verdana"/>
                <w:sz w:val="16"/>
                <w:lang w:val="en-US"/>
              </w:rPr>
              <w:t xml:space="preserve"> according</w:t>
            </w:r>
            <w:proofErr w:type="gramEnd"/>
            <w:r w:rsidRPr="006E755D">
              <w:rPr>
                <w:rFonts w:ascii="Verdana" w:hAnsi="Verdana"/>
                <w:sz w:val="16"/>
                <w:lang w:val="en-US"/>
              </w:rPr>
              <w:t xml:space="preserve"> </w:t>
            </w:r>
            <w:proofErr w:type="gramStart"/>
            <w:r w:rsidRPr="006E755D">
              <w:rPr>
                <w:rFonts w:ascii="Verdana" w:hAnsi="Verdana"/>
                <w:sz w:val="16"/>
                <w:lang w:val="en-US"/>
              </w:rPr>
              <w:t>to</w:t>
            </w:r>
            <w:proofErr w:type="gramEnd"/>
            <w:r w:rsidRPr="006E755D">
              <w:rPr>
                <w:rFonts w:ascii="Verdana" w:hAnsi="Verdana"/>
                <w:sz w:val="16"/>
                <w:lang w:val="en-US"/>
              </w:rPr>
              <w:t xml:space="preserve"> </w:t>
            </w:r>
            <w:r>
              <w:rPr>
                <w:rFonts w:ascii="Verdana" w:hAnsi="Verdana"/>
                <w:sz w:val="16"/>
                <w:lang w:val="en-US"/>
              </w:rPr>
              <w:t xml:space="preserve">this </w:t>
            </w:r>
            <w:r w:rsidRPr="006E755D">
              <w:rPr>
                <w:rFonts w:ascii="Verdana" w:hAnsi="Verdana"/>
                <w:sz w:val="16"/>
                <w:lang w:val="en-US"/>
              </w:rPr>
              <w:t>Art.</w:t>
            </w:r>
            <w:r>
              <w:rPr>
                <w:rFonts w:ascii="Verdana" w:hAnsi="Verdana"/>
                <w:sz w:val="16"/>
                <w:lang w:val="en-US"/>
              </w:rPr>
              <w:t> </w:t>
            </w:r>
            <w:r w:rsidRPr="006E755D">
              <w:rPr>
                <w:rFonts w:ascii="Verdana" w:hAnsi="Verdana"/>
                <w:sz w:val="16"/>
                <w:lang w:val="en-US"/>
              </w:rPr>
              <w:t>6</w:t>
            </w:r>
            <w:r>
              <w:rPr>
                <w:rFonts w:ascii="Verdana" w:hAnsi="Verdana"/>
                <w:sz w:val="16"/>
                <w:lang w:val="en-US"/>
              </w:rPr>
              <w:t xml:space="preserve"> may not exceed </w:t>
            </w:r>
            <w:r w:rsidRPr="002E691C">
              <w:rPr>
                <w:rFonts w:ascii="Verdana" w:hAnsi="Verdana"/>
                <w:sz w:val="16"/>
                <w:lang w:val="en-US"/>
              </w:rPr>
              <w:t>38'227'087</w:t>
            </w:r>
            <w:r w:rsidRPr="002C3320">
              <w:rPr>
                <w:rFonts w:ascii="Verdana" w:hAnsi="Verdana"/>
                <w:bCs/>
                <w:sz w:val="16"/>
                <w:lang w:val="en-US"/>
              </w:rPr>
              <w:t xml:space="preserve"> </w:t>
            </w:r>
            <w:r w:rsidR="00E6009C">
              <w:rPr>
                <w:rFonts w:ascii="Verdana" w:hAnsi="Verdana"/>
                <w:bCs/>
                <w:sz w:val="16"/>
                <w:lang w:val="en-US"/>
              </w:rPr>
              <w:t xml:space="preserve">registered </w:t>
            </w:r>
            <w:r>
              <w:rPr>
                <w:rFonts w:ascii="Verdana" w:hAnsi="Verdana"/>
                <w:sz w:val="16"/>
                <w:lang w:val="en-US"/>
              </w:rPr>
              <w:t>s</w:t>
            </w:r>
            <w:r w:rsidRPr="006E755D">
              <w:rPr>
                <w:rFonts w:ascii="Verdana" w:hAnsi="Verdana"/>
                <w:sz w:val="16"/>
                <w:lang w:val="en-US"/>
              </w:rPr>
              <w:t>hares</w:t>
            </w:r>
            <w:r>
              <w:rPr>
                <w:rFonts w:ascii="Verdana" w:hAnsi="Verdana"/>
                <w:sz w:val="16"/>
                <w:lang w:val="en-US"/>
              </w:rPr>
              <w:t>.</w:t>
            </w:r>
          </w:p>
        </w:tc>
      </w:tr>
      <w:tr w:rsidR="002F537E" w:rsidRPr="00BA0AF1" w14:paraId="0EDFDE06" w14:textId="77777777" w:rsidTr="00846CDA">
        <w:tc>
          <w:tcPr>
            <w:tcW w:w="4962" w:type="dxa"/>
          </w:tcPr>
          <w:p w14:paraId="7367464F" w14:textId="77777777" w:rsidR="002F537E" w:rsidRPr="00CA5D27" w:rsidRDefault="002F537E" w:rsidP="002F537E">
            <w:pPr>
              <w:jc w:val="center"/>
              <w:rPr>
                <w:rFonts w:ascii="Verdana" w:hAnsi="Verdana"/>
                <w:b/>
                <w:sz w:val="16"/>
                <w:lang w:val="en-US"/>
              </w:rPr>
            </w:pPr>
          </w:p>
          <w:p w14:paraId="5C014653" w14:textId="77777777" w:rsidR="002F537E" w:rsidRPr="00937FAC" w:rsidRDefault="002F537E" w:rsidP="002F537E">
            <w:pPr>
              <w:jc w:val="center"/>
              <w:rPr>
                <w:rFonts w:ascii="Verdana" w:hAnsi="Verdana"/>
                <w:b/>
                <w:sz w:val="16"/>
                <w:lang w:val="de-CH"/>
              </w:rPr>
            </w:pPr>
            <w:r>
              <w:rPr>
                <w:rFonts w:ascii="Verdana" w:hAnsi="Verdana"/>
                <w:b/>
                <w:sz w:val="16"/>
                <w:lang w:val="de-CH"/>
              </w:rPr>
              <w:t>Art. 7</w:t>
            </w:r>
          </w:p>
          <w:p w14:paraId="37F3C149" w14:textId="77777777" w:rsidR="002F537E" w:rsidRDefault="002F537E" w:rsidP="002F537E">
            <w:pPr>
              <w:jc w:val="center"/>
              <w:rPr>
                <w:rFonts w:ascii="Verdana" w:hAnsi="Verdana"/>
                <w:b/>
                <w:sz w:val="16"/>
                <w:lang w:val="de-CH"/>
              </w:rPr>
            </w:pPr>
            <w:r>
              <w:rPr>
                <w:rFonts w:ascii="Verdana" w:hAnsi="Verdana"/>
                <w:b/>
                <w:sz w:val="16"/>
                <w:lang w:val="de-CH"/>
              </w:rPr>
              <w:t>Aktienbuch</w:t>
            </w:r>
          </w:p>
          <w:p w14:paraId="1D4ACCE9" w14:textId="4E1752D4" w:rsidR="002F537E" w:rsidRDefault="002F537E" w:rsidP="002F537E">
            <w:pPr>
              <w:jc w:val="center"/>
              <w:rPr>
                <w:rFonts w:ascii="Verdana" w:hAnsi="Verdana"/>
                <w:b/>
                <w:sz w:val="16"/>
                <w:lang w:val="de-CH"/>
              </w:rPr>
            </w:pPr>
            <w:r>
              <w:rPr>
                <w:rFonts w:ascii="Verdana" w:hAnsi="Verdana"/>
                <w:b/>
                <w:sz w:val="16"/>
                <w:lang w:val="de-CH"/>
              </w:rPr>
              <w:t>(Vinkulierung)</w:t>
            </w:r>
          </w:p>
          <w:p w14:paraId="59A3D3BF" w14:textId="77777777" w:rsidR="002F537E" w:rsidRPr="00CA5D27" w:rsidRDefault="002F537E" w:rsidP="002F537E">
            <w:pPr>
              <w:jc w:val="center"/>
              <w:rPr>
                <w:rFonts w:ascii="Verdana" w:hAnsi="Verdana"/>
                <w:b/>
                <w:sz w:val="16"/>
                <w:lang w:val="de-CH"/>
              </w:rPr>
            </w:pPr>
          </w:p>
        </w:tc>
        <w:tc>
          <w:tcPr>
            <w:tcW w:w="596" w:type="dxa"/>
          </w:tcPr>
          <w:p w14:paraId="7CFF1CB3" w14:textId="77777777" w:rsidR="002F537E" w:rsidRDefault="002F537E" w:rsidP="002F537E">
            <w:pPr>
              <w:jc w:val="center"/>
              <w:rPr>
                <w:rFonts w:ascii="Verdana" w:hAnsi="Verdana"/>
                <w:sz w:val="16"/>
                <w:lang w:val="de-DE"/>
              </w:rPr>
            </w:pPr>
          </w:p>
        </w:tc>
        <w:tc>
          <w:tcPr>
            <w:tcW w:w="5074" w:type="dxa"/>
          </w:tcPr>
          <w:p w14:paraId="61FD08D2" w14:textId="77777777" w:rsidR="002F537E" w:rsidRPr="00B25D6F" w:rsidRDefault="002F537E" w:rsidP="002F537E">
            <w:pPr>
              <w:jc w:val="center"/>
              <w:rPr>
                <w:rFonts w:ascii="Verdana" w:hAnsi="Verdana"/>
                <w:b/>
                <w:bCs/>
                <w:sz w:val="16"/>
                <w:lang w:val="en-US"/>
              </w:rPr>
            </w:pPr>
          </w:p>
          <w:p w14:paraId="43483BA0" w14:textId="77777777" w:rsidR="002F537E" w:rsidRPr="00B129A2" w:rsidRDefault="002F537E" w:rsidP="002F537E">
            <w:pPr>
              <w:jc w:val="center"/>
              <w:rPr>
                <w:rFonts w:ascii="Verdana" w:hAnsi="Verdana"/>
                <w:b/>
                <w:sz w:val="16"/>
                <w:lang w:val="en-US"/>
              </w:rPr>
            </w:pPr>
            <w:r w:rsidRPr="00B129A2">
              <w:rPr>
                <w:rFonts w:ascii="Verdana" w:hAnsi="Verdana"/>
                <w:b/>
                <w:sz w:val="16"/>
                <w:lang w:val="en-US"/>
              </w:rPr>
              <w:t>Art. 7</w:t>
            </w:r>
          </w:p>
          <w:p w14:paraId="45245313" w14:textId="77777777" w:rsidR="002F537E" w:rsidRPr="00B129A2" w:rsidRDefault="002F537E" w:rsidP="002F537E">
            <w:pPr>
              <w:jc w:val="center"/>
              <w:rPr>
                <w:rFonts w:ascii="Verdana" w:hAnsi="Verdana"/>
                <w:b/>
                <w:sz w:val="16"/>
                <w:lang w:val="en-US"/>
              </w:rPr>
            </w:pPr>
            <w:r w:rsidRPr="00B129A2">
              <w:rPr>
                <w:rFonts w:ascii="Verdana" w:hAnsi="Verdana"/>
                <w:b/>
                <w:sz w:val="16"/>
                <w:lang w:val="en-US"/>
              </w:rPr>
              <w:t>Share register</w:t>
            </w:r>
          </w:p>
          <w:p w14:paraId="1D93D39A" w14:textId="77777777" w:rsidR="002F537E" w:rsidRPr="00B129A2" w:rsidRDefault="002F537E" w:rsidP="002F537E">
            <w:pPr>
              <w:jc w:val="center"/>
              <w:rPr>
                <w:rFonts w:ascii="Verdana" w:hAnsi="Verdana"/>
                <w:b/>
                <w:sz w:val="16"/>
                <w:lang w:val="en-US"/>
              </w:rPr>
            </w:pPr>
            <w:r w:rsidRPr="00B129A2">
              <w:rPr>
                <w:rFonts w:ascii="Verdana" w:hAnsi="Verdana"/>
                <w:b/>
                <w:sz w:val="16"/>
                <w:lang w:val="en-US"/>
              </w:rPr>
              <w:t>(Registration Restrictions)</w:t>
            </w:r>
          </w:p>
          <w:p w14:paraId="4B296A4D" w14:textId="77777777" w:rsidR="002F537E" w:rsidRPr="00BA0AF1" w:rsidRDefault="002F537E" w:rsidP="002F537E">
            <w:pPr>
              <w:jc w:val="center"/>
              <w:rPr>
                <w:rFonts w:ascii="Verdana" w:hAnsi="Verdana"/>
                <w:b/>
                <w:bCs/>
                <w:sz w:val="16"/>
                <w:lang w:val="en-US"/>
              </w:rPr>
            </w:pPr>
          </w:p>
        </w:tc>
      </w:tr>
      <w:tr w:rsidR="002F537E" w:rsidRPr="00305B8C" w14:paraId="2FB8D656" w14:textId="77777777" w:rsidTr="00846CDA">
        <w:trPr>
          <w:trHeight w:val="878"/>
        </w:trPr>
        <w:tc>
          <w:tcPr>
            <w:tcW w:w="4962" w:type="dxa"/>
          </w:tcPr>
          <w:p w14:paraId="63DAF777" w14:textId="3FE3A425" w:rsidR="002F537E" w:rsidRPr="008F6DDD" w:rsidRDefault="002F537E" w:rsidP="002F537E">
            <w:pPr>
              <w:pStyle w:val="BodyText2"/>
              <w:numPr>
                <w:ilvl w:val="0"/>
                <w:numId w:val="7"/>
              </w:numPr>
              <w:spacing w:before="60"/>
              <w:ind w:left="425" w:hanging="425"/>
              <w:rPr>
                <w:sz w:val="16"/>
              </w:rPr>
            </w:pPr>
            <w:r>
              <w:rPr>
                <w:sz w:val="16"/>
              </w:rPr>
              <w:t xml:space="preserve">Die Gesellschaft führt ein Aktienbuch, in welches Eigentümer und Nutzniesser </w:t>
            </w:r>
            <w:proofErr w:type="gramStart"/>
            <w:r>
              <w:rPr>
                <w:sz w:val="16"/>
              </w:rPr>
              <w:t>mit Vor- und Nachname</w:t>
            </w:r>
            <w:proofErr w:type="gramEnd"/>
            <w:r>
              <w:rPr>
                <w:sz w:val="16"/>
              </w:rPr>
              <w:t>, Adresse und Staatsangehörigkeit (bei juristischen Personen dem Sitz) eingetragen werden.</w:t>
            </w:r>
          </w:p>
        </w:tc>
        <w:tc>
          <w:tcPr>
            <w:tcW w:w="596" w:type="dxa"/>
            <w:vMerge w:val="restart"/>
          </w:tcPr>
          <w:p w14:paraId="62547143" w14:textId="77777777" w:rsidR="002F537E" w:rsidRDefault="002F537E" w:rsidP="002F537E">
            <w:pPr>
              <w:ind w:left="425" w:hanging="425"/>
              <w:jc w:val="both"/>
              <w:rPr>
                <w:rFonts w:ascii="Verdana" w:hAnsi="Verdana"/>
                <w:sz w:val="16"/>
                <w:lang w:val="de-DE"/>
              </w:rPr>
            </w:pPr>
          </w:p>
        </w:tc>
        <w:tc>
          <w:tcPr>
            <w:tcW w:w="5074" w:type="dxa"/>
          </w:tcPr>
          <w:p w14:paraId="08794781" w14:textId="081B430C" w:rsidR="002F537E" w:rsidRPr="00F153D0" w:rsidRDefault="002F537E" w:rsidP="00C825D6">
            <w:pPr>
              <w:pStyle w:val="BodyText2"/>
              <w:numPr>
                <w:ilvl w:val="0"/>
                <w:numId w:val="35"/>
              </w:numPr>
              <w:spacing w:before="60"/>
              <w:ind w:left="425" w:hanging="425"/>
              <w:rPr>
                <w:sz w:val="16"/>
                <w:lang w:val="en-US"/>
              </w:rPr>
            </w:pPr>
            <w:r w:rsidRPr="00B129A2">
              <w:rPr>
                <w:sz w:val="16"/>
                <w:lang w:val="en-US"/>
              </w:rPr>
              <w:t>The Company shall keep a share register in which owners and usufructuaries' family and given name, address and nationality (or the registered office in case of legal entities) are entered.</w:t>
            </w:r>
          </w:p>
        </w:tc>
      </w:tr>
      <w:tr w:rsidR="002F537E" w:rsidRPr="00305B8C" w14:paraId="597E8942" w14:textId="77777777" w:rsidTr="00846CDA">
        <w:trPr>
          <w:trHeight w:val="875"/>
        </w:trPr>
        <w:tc>
          <w:tcPr>
            <w:tcW w:w="4962" w:type="dxa"/>
          </w:tcPr>
          <w:p w14:paraId="63535F85" w14:textId="65B7A693" w:rsidR="002F537E" w:rsidRDefault="002F537E" w:rsidP="002F537E">
            <w:pPr>
              <w:pStyle w:val="BodyText2"/>
              <w:numPr>
                <w:ilvl w:val="0"/>
                <w:numId w:val="7"/>
              </w:numPr>
              <w:spacing w:before="60"/>
              <w:ind w:left="425" w:hanging="425"/>
              <w:rPr>
                <w:sz w:val="16"/>
              </w:rPr>
            </w:pPr>
            <w:r w:rsidRPr="000A31F8">
              <w:rPr>
                <w:sz w:val="16"/>
              </w:rPr>
              <w:t>Erwerber von Aktien werden auf Gesuch hin ohne Begrenzung als Aktionäre mit Stimmrecht im Aktienbuch eingetragen, falls sie ausdrücklich erklären, dass sie die Aktien im eigenen Namen und auf eigene Rechnung erworben haben.</w:t>
            </w:r>
          </w:p>
        </w:tc>
        <w:tc>
          <w:tcPr>
            <w:tcW w:w="596" w:type="dxa"/>
            <w:vMerge/>
          </w:tcPr>
          <w:p w14:paraId="10845CFE" w14:textId="77777777" w:rsidR="002F537E" w:rsidRDefault="002F537E" w:rsidP="002F537E">
            <w:pPr>
              <w:ind w:left="425" w:hanging="425"/>
              <w:jc w:val="both"/>
              <w:rPr>
                <w:rFonts w:ascii="Verdana" w:hAnsi="Verdana"/>
                <w:sz w:val="16"/>
                <w:lang w:val="de-DE"/>
              </w:rPr>
            </w:pPr>
          </w:p>
        </w:tc>
        <w:tc>
          <w:tcPr>
            <w:tcW w:w="5074" w:type="dxa"/>
          </w:tcPr>
          <w:p w14:paraId="40F0306C" w14:textId="50F31436" w:rsidR="002F537E" w:rsidRPr="00B129A2" w:rsidRDefault="002F537E" w:rsidP="00C825D6">
            <w:pPr>
              <w:pStyle w:val="BodyText2"/>
              <w:numPr>
                <w:ilvl w:val="0"/>
                <w:numId w:val="35"/>
              </w:numPr>
              <w:spacing w:before="60"/>
              <w:ind w:left="425" w:hanging="425"/>
              <w:rPr>
                <w:sz w:val="16"/>
                <w:lang w:val="en-US"/>
              </w:rPr>
            </w:pPr>
            <w:proofErr w:type="gramStart"/>
            <w:r w:rsidRPr="00B129A2">
              <w:rPr>
                <w:sz w:val="16"/>
                <w:lang w:val="en-US"/>
              </w:rPr>
              <w:t>Acquirers of</w:t>
            </w:r>
            <w:proofErr w:type="gramEnd"/>
            <w:r w:rsidRPr="00B129A2">
              <w:rPr>
                <w:sz w:val="16"/>
                <w:lang w:val="en-US"/>
              </w:rPr>
              <w:t xml:space="preserve"> shares will upon application be entered </w:t>
            </w:r>
            <w:proofErr w:type="gramStart"/>
            <w:r w:rsidRPr="00B129A2">
              <w:rPr>
                <w:sz w:val="16"/>
                <w:lang w:val="en-US"/>
              </w:rPr>
              <w:t>in</w:t>
            </w:r>
            <w:proofErr w:type="gramEnd"/>
            <w:r w:rsidRPr="00B129A2">
              <w:rPr>
                <w:sz w:val="16"/>
                <w:lang w:val="en-US"/>
              </w:rPr>
              <w:t xml:space="preserve"> the share register without limitation as shareholders with voting rights, provided they expressly declare to have acquired the shares in their own name and for their own account.</w:t>
            </w:r>
            <w:r w:rsidR="00103E0A">
              <w:rPr>
                <w:sz w:val="16"/>
                <w:lang w:val="en-US"/>
              </w:rPr>
              <w:t xml:space="preserve"> </w:t>
            </w:r>
          </w:p>
        </w:tc>
      </w:tr>
      <w:tr w:rsidR="002F537E" w:rsidRPr="00305B8C" w14:paraId="1EE183EA" w14:textId="77777777" w:rsidTr="00846CDA">
        <w:trPr>
          <w:trHeight w:val="875"/>
        </w:trPr>
        <w:tc>
          <w:tcPr>
            <w:tcW w:w="4962" w:type="dxa"/>
          </w:tcPr>
          <w:p w14:paraId="666483A3" w14:textId="7E98E207" w:rsidR="002F537E" w:rsidRDefault="002F537E" w:rsidP="002F537E">
            <w:pPr>
              <w:pStyle w:val="BodyText2"/>
              <w:numPr>
                <w:ilvl w:val="0"/>
                <w:numId w:val="7"/>
              </w:numPr>
              <w:spacing w:before="60"/>
              <w:ind w:left="425" w:hanging="425"/>
              <w:rPr>
                <w:sz w:val="16"/>
              </w:rPr>
            </w:pPr>
            <w:r w:rsidRPr="007B3B01">
              <w:rPr>
                <w:sz w:val="16"/>
              </w:rPr>
              <w:t xml:space="preserve">Personen, die im Eintragungsgesuch </w:t>
            </w:r>
            <w:r w:rsidR="003218D8" w:rsidRPr="003218D8">
              <w:rPr>
                <w:sz w:val="16"/>
              </w:rPr>
              <w:t xml:space="preserve">nicht ausdrücklich </w:t>
            </w:r>
            <w:r w:rsidR="000B390A">
              <w:rPr>
                <w:sz w:val="16"/>
              </w:rPr>
              <w:t>erklären, die Aktien für eigene Rechnung zu halten</w:t>
            </w:r>
            <w:r w:rsidR="0082633E">
              <w:rPr>
                <w:sz w:val="16"/>
              </w:rPr>
              <w:t>,</w:t>
            </w:r>
            <w:r w:rsidR="00180C43">
              <w:rPr>
                <w:sz w:val="16"/>
              </w:rPr>
              <w:t xml:space="preserve"> </w:t>
            </w:r>
            <w:r w:rsidRPr="007B3B01">
              <w:rPr>
                <w:sz w:val="16"/>
              </w:rPr>
              <w:t xml:space="preserve">werden ohne Weiteres bis maximal </w:t>
            </w:r>
            <w:r>
              <w:rPr>
                <w:sz w:val="16"/>
              </w:rPr>
              <w:t>5</w:t>
            </w:r>
            <w:r w:rsidRPr="007B3B01">
              <w:rPr>
                <w:sz w:val="16"/>
              </w:rPr>
              <w:t xml:space="preserve">% des jeweils </w:t>
            </w:r>
            <w:r>
              <w:rPr>
                <w:sz w:val="16"/>
              </w:rPr>
              <w:t>ausgegebenen</w:t>
            </w:r>
            <w:r w:rsidRPr="007B3B01">
              <w:rPr>
                <w:sz w:val="16"/>
              </w:rPr>
              <w:t xml:space="preserve"> Aktienkapit</w:t>
            </w:r>
            <w:r>
              <w:rPr>
                <w:sz w:val="16"/>
              </w:rPr>
              <w:t>als mit Stimmrecht im Aktienbuch</w:t>
            </w:r>
            <w:r w:rsidRPr="007B3B01">
              <w:rPr>
                <w:sz w:val="16"/>
              </w:rPr>
              <w:t xml:space="preserve"> eingetragen</w:t>
            </w:r>
            <w:r>
              <w:rPr>
                <w:sz w:val="16"/>
              </w:rPr>
              <w:t>.</w:t>
            </w:r>
            <w:r w:rsidRPr="007B3B01">
              <w:rPr>
                <w:sz w:val="16"/>
              </w:rPr>
              <w:t xml:space="preserve"> Über diese Limite hinaus werden </w:t>
            </w:r>
            <w:proofErr w:type="spellStart"/>
            <w:r w:rsidRPr="007B3B01">
              <w:rPr>
                <w:sz w:val="16"/>
              </w:rPr>
              <w:t>Nominees</w:t>
            </w:r>
            <w:proofErr w:type="spellEnd"/>
            <w:r w:rsidRPr="007B3B01">
              <w:rPr>
                <w:sz w:val="16"/>
              </w:rPr>
              <w:t xml:space="preserve"> mit ihren Namenaktien nur dann mit Stimmrecht eingetragen, wenn der betreffende </w:t>
            </w:r>
            <w:proofErr w:type="spellStart"/>
            <w:r w:rsidRPr="007B3B01">
              <w:rPr>
                <w:sz w:val="16"/>
              </w:rPr>
              <w:t>Nominee</w:t>
            </w:r>
            <w:proofErr w:type="spellEnd"/>
            <w:r w:rsidRPr="007B3B01">
              <w:rPr>
                <w:sz w:val="16"/>
              </w:rPr>
              <w:t xml:space="preserve"> die Namen, Adressen und Aktienbestände derjenigen </w:t>
            </w:r>
            <w:r>
              <w:rPr>
                <w:sz w:val="16"/>
              </w:rPr>
              <w:t xml:space="preserve">wirtschaftlichen Berechtigten </w:t>
            </w:r>
            <w:r w:rsidRPr="007B3B01">
              <w:rPr>
                <w:sz w:val="16"/>
              </w:rPr>
              <w:t xml:space="preserve">bekannt gibt, für deren Rechnung er </w:t>
            </w:r>
            <w:r w:rsidRPr="000C51DE">
              <w:rPr>
                <w:sz w:val="16"/>
              </w:rPr>
              <w:t>1</w:t>
            </w:r>
            <w:r w:rsidRPr="007B3B01">
              <w:rPr>
                <w:sz w:val="16"/>
              </w:rPr>
              <w:t>% oder mehr des jeweils ausstehenden Aktienkapitals hält, und wenn die Meldepflichten gemäss</w:t>
            </w:r>
            <w:r>
              <w:rPr>
                <w:sz w:val="16"/>
              </w:rPr>
              <w:t xml:space="preserve"> dem Bundesgesetz über die Finanzmarktinfrastrukturen und </w:t>
            </w:r>
            <w:r w:rsidRPr="00F43E2D">
              <w:rPr>
                <w:sz w:val="16"/>
              </w:rPr>
              <w:t>das Marktverhalten im Effekten- und Derivatehandel</w:t>
            </w:r>
            <w:r>
              <w:rPr>
                <w:sz w:val="16"/>
              </w:rPr>
              <w:t xml:space="preserve"> </w:t>
            </w:r>
            <w:r w:rsidRPr="007162E2">
              <w:rPr>
                <w:sz w:val="16"/>
              </w:rPr>
              <w:t>(Finanzmarktinfrastrukturgesetz,</w:t>
            </w:r>
            <w:r w:rsidRPr="007B3B01">
              <w:rPr>
                <w:sz w:val="16"/>
              </w:rPr>
              <w:t xml:space="preserve"> FinfraG</w:t>
            </w:r>
            <w:r>
              <w:rPr>
                <w:sz w:val="16"/>
              </w:rPr>
              <w:t>)</w:t>
            </w:r>
            <w:r w:rsidRPr="007B3B01">
              <w:rPr>
                <w:sz w:val="16"/>
              </w:rPr>
              <w:t xml:space="preserve"> erfüllt werden. </w:t>
            </w:r>
            <w:r w:rsidRPr="00F326DE">
              <w:rPr>
                <w:sz w:val="16"/>
              </w:rPr>
              <w:t xml:space="preserve">Der Verwaltungsrat kann mit einem solchen </w:t>
            </w:r>
            <w:proofErr w:type="spellStart"/>
            <w:r w:rsidRPr="00F326DE">
              <w:rPr>
                <w:sz w:val="16"/>
              </w:rPr>
              <w:t>Nominee</w:t>
            </w:r>
            <w:proofErr w:type="spellEnd"/>
            <w:r w:rsidRPr="00F326DE">
              <w:rPr>
                <w:sz w:val="16"/>
              </w:rPr>
              <w:t xml:space="preserve"> einen Vertrag abschliessen, welcher insbesondere die Bekanntgabe der wirtschaftlich Berechtigten näher regelt und Bestimmungen über die Vertretung von Aktionären und die Stimmrechte enthält. Der Verwaltungsrat kann die Eintragung von Stimmrechten verweigern, bis der </w:t>
            </w:r>
            <w:proofErr w:type="spellStart"/>
            <w:r w:rsidRPr="00F326DE">
              <w:rPr>
                <w:sz w:val="16"/>
              </w:rPr>
              <w:t>Nominee</w:t>
            </w:r>
            <w:proofErr w:type="spellEnd"/>
            <w:r w:rsidRPr="00F326DE">
              <w:rPr>
                <w:sz w:val="16"/>
              </w:rPr>
              <w:t xml:space="preserve"> einen solchen Vertrag unterzeichnet hat. Im Sinne dieser Statuten (i) ist ein "</w:t>
            </w:r>
            <w:proofErr w:type="spellStart"/>
            <w:r w:rsidRPr="00F326DE">
              <w:rPr>
                <w:sz w:val="16"/>
              </w:rPr>
              <w:t>Nominee</w:t>
            </w:r>
            <w:proofErr w:type="spellEnd"/>
            <w:r w:rsidRPr="00F326DE">
              <w:rPr>
                <w:sz w:val="16"/>
              </w:rPr>
              <w:t xml:space="preserve">" ein Finanzintermediär, der im Eintragungsgesuch nicht ausdrücklich erklärt, dass er die Aktien für eigene Rechnung hält, insbesondere eine Verwahrungsstelle, ein </w:t>
            </w:r>
            <w:proofErr w:type="spellStart"/>
            <w:r w:rsidRPr="00F326DE">
              <w:rPr>
                <w:sz w:val="16"/>
              </w:rPr>
              <w:t>Nominee</w:t>
            </w:r>
            <w:proofErr w:type="spellEnd"/>
            <w:r w:rsidRPr="00F326DE">
              <w:rPr>
                <w:sz w:val="16"/>
              </w:rPr>
              <w:t xml:space="preserve"> einer solchen Verwahrungsstelle, eine Hinterlegungsstelle, oder ein </w:t>
            </w:r>
            <w:proofErr w:type="spellStart"/>
            <w:r w:rsidRPr="00F326DE">
              <w:rPr>
                <w:sz w:val="16"/>
              </w:rPr>
              <w:t>Nominee</w:t>
            </w:r>
            <w:proofErr w:type="spellEnd"/>
            <w:r w:rsidRPr="00F326DE">
              <w:rPr>
                <w:sz w:val="16"/>
              </w:rPr>
              <w:t xml:space="preserve"> einer solchen Hinterlegungsstelle; und (ii) umfasst ein "wirtschaftlich Berechtigter" insbesondere einen wirtschaftlich Berechtigten an </w:t>
            </w:r>
            <w:proofErr w:type="spellStart"/>
            <w:r w:rsidRPr="00F326DE">
              <w:rPr>
                <w:sz w:val="16"/>
              </w:rPr>
              <w:t>Depositary</w:t>
            </w:r>
            <w:proofErr w:type="spellEnd"/>
            <w:r w:rsidRPr="00F326DE">
              <w:rPr>
                <w:sz w:val="16"/>
              </w:rPr>
              <w:t xml:space="preserve"> </w:t>
            </w:r>
            <w:proofErr w:type="spellStart"/>
            <w:r w:rsidRPr="00F326DE">
              <w:rPr>
                <w:sz w:val="16"/>
              </w:rPr>
              <w:t>Interests</w:t>
            </w:r>
            <w:proofErr w:type="spellEnd"/>
            <w:r w:rsidRPr="00F326DE">
              <w:rPr>
                <w:sz w:val="16"/>
              </w:rPr>
              <w:t xml:space="preserve"> oder </w:t>
            </w:r>
            <w:proofErr w:type="spellStart"/>
            <w:r w:rsidRPr="00F326DE">
              <w:rPr>
                <w:sz w:val="16"/>
              </w:rPr>
              <w:t>Depositary</w:t>
            </w:r>
            <w:proofErr w:type="spellEnd"/>
            <w:r w:rsidRPr="00F326DE">
              <w:rPr>
                <w:sz w:val="16"/>
              </w:rPr>
              <w:t xml:space="preserve"> </w:t>
            </w:r>
            <w:proofErr w:type="spellStart"/>
            <w:r w:rsidRPr="00F326DE">
              <w:rPr>
                <w:sz w:val="16"/>
              </w:rPr>
              <w:t>Receipts</w:t>
            </w:r>
            <w:proofErr w:type="spellEnd"/>
            <w:r w:rsidRPr="00F326DE">
              <w:rPr>
                <w:sz w:val="16"/>
              </w:rPr>
              <w:t xml:space="preserve"> für Aktien der Gesellschaft.</w:t>
            </w:r>
          </w:p>
        </w:tc>
        <w:tc>
          <w:tcPr>
            <w:tcW w:w="596" w:type="dxa"/>
            <w:vMerge/>
          </w:tcPr>
          <w:p w14:paraId="391AFC2D" w14:textId="77777777" w:rsidR="002F537E" w:rsidRDefault="002F537E" w:rsidP="002F537E">
            <w:pPr>
              <w:ind w:left="425" w:hanging="425"/>
              <w:jc w:val="both"/>
              <w:rPr>
                <w:rFonts w:ascii="Verdana" w:hAnsi="Verdana"/>
                <w:sz w:val="16"/>
                <w:lang w:val="de-DE"/>
              </w:rPr>
            </w:pPr>
          </w:p>
        </w:tc>
        <w:tc>
          <w:tcPr>
            <w:tcW w:w="5074" w:type="dxa"/>
          </w:tcPr>
          <w:p w14:paraId="5B491CC4" w14:textId="573CBF03" w:rsidR="002F537E" w:rsidRPr="00B129A2" w:rsidRDefault="002F537E" w:rsidP="00C825D6">
            <w:pPr>
              <w:pStyle w:val="BodyText2"/>
              <w:numPr>
                <w:ilvl w:val="0"/>
                <w:numId w:val="35"/>
              </w:numPr>
              <w:spacing w:before="60"/>
              <w:ind w:left="425" w:hanging="425"/>
              <w:rPr>
                <w:sz w:val="16"/>
                <w:lang w:val="en-US"/>
              </w:rPr>
            </w:pPr>
            <w:proofErr w:type="gramStart"/>
            <w:r w:rsidRPr="00B129A2">
              <w:rPr>
                <w:sz w:val="16"/>
                <w:lang w:val="en-US"/>
              </w:rPr>
              <w:t xml:space="preserve">Persons </w:t>
            </w:r>
            <w:r w:rsidR="003218D8" w:rsidRPr="003218D8">
              <w:rPr>
                <w:sz w:val="16"/>
                <w:lang w:val="en-US"/>
              </w:rPr>
              <w:t xml:space="preserve">not expressly </w:t>
            </w:r>
            <w:r w:rsidR="000B390A">
              <w:rPr>
                <w:sz w:val="16"/>
                <w:lang w:val="en-US"/>
              </w:rPr>
              <w:t>declaring</w:t>
            </w:r>
            <w:proofErr w:type="gramEnd"/>
            <w:r w:rsidR="000B390A">
              <w:rPr>
                <w:sz w:val="16"/>
                <w:lang w:val="en-US"/>
              </w:rPr>
              <w:t xml:space="preserve"> themselves to be holding shares for their own account in their application for entry </w:t>
            </w:r>
            <w:proofErr w:type="gramStart"/>
            <w:r w:rsidR="000B390A">
              <w:rPr>
                <w:sz w:val="16"/>
                <w:lang w:val="en-US"/>
              </w:rPr>
              <w:t>in</w:t>
            </w:r>
            <w:proofErr w:type="gramEnd"/>
            <w:r w:rsidR="000B390A">
              <w:rPr>
                <w:sz w:val="16"/>
                <w:lang w:val="en-US"/>
              </w:rPr>
              <w:t xml:space="preserve"> the share register </w:t>
            </w:r>
            <w:r w:rsidRPr="00B129A2">
              <w:rPr>
                <w:sz w:val="16"/>
                <w:lang w:val="en-US"/>
              </w:rPr>
              <w:t xml:space="preserve">will be entered in the share register with voting rights without further inquiry up to a maximum of 5% of the issued share capital at the time. Above this limit shares held by nominees shall be entered in the share register with voting rights only if the nominee in question makes known the names, addresses and shareholdings of the beneficial owners for whose account </w:t>
            </w:r>
            <w:r w:rsidR="000B390A">
              <w:rPr>
                <w:sz w:val="16"/>
                <w:lang w:val="en-US"/>
              </w:rPr>
              <w:t>he</w:t>
            </w:r>
            <w:r w:rsidR="000B390A" w:rsidRPr="00B129A2">
              <w:rPr>
                <w:sz w:val="16"/>
                <w:lang w:val="en-US"/>
              </w:rPr>
              <w:t xml:space="preserve"> </w:t>
            </w:r>
            <w:r w:rsidRPr="00B129A2">
              <w:rPr>
                <w:sz w:val="16"/>
                <w:lang w:val="en-US"/>
              </w:rPr>
              <w:t>is holding 1% or more of the outstanding share capital available at the time and provided that the disclosure requirement stipulated in the Federal Act on Financial Market Infrastructures and Market Conduct in Securities and Derivatives Trading (Financial Market Infrastructure Act, FMIA) is complied with. The Board of Directors may enter into a contractual agreement with such a nominee which, e.g., further specifies the disclosure of beneficial owners and contains rules on the representation of shareholders and the voting rights. The Board of Directors may withhold registration with voting rights until the nominee has entered into such agreement. For purposes of these Articles of Association, (</w:t>
            </w:r>
            <w:proofErr w:type="spellStart"/>
            <w:r w:rsidRPr="00B129A2">
              <w:rPr>
                <w:sz w:val="16"/>
                <w:lang w:val="en-US"/>
              </w:rPr>
              <w:t>i</w:t>
            </w:r>
            <w:proofErr w:type="spellEnd"/>
            <w:r w:rsidRPr="00B129A2">
              <w:rPr>
                <w:sz w:val="16"/>
                <w:lang w:val="en-US"/>
              </w:rPr>
              <w:t>) a "nominee" is a financial intermediary who does not expressly declare in the application form to hold the shares for its own account and shall include, without limitation, a custodian, nominee of a custodian, depositary, or nominee of a depositary; and (ii) a "beneficial owner" shall include, without limitation, any beneficial owner of depositary interests or depositary receipts representing shares of the Company.</w:t>
            </w:r>
          </w:p>
        </w:tc>
      </w:tr>
      <w:tr w:rsidR="002F537E" w:rsidRPr="00305B8C" w14:paraId="5FB9D5B4" w14:textId="77777777" w:rsidTr="00846CDA">
        <w:trPr>
          <w:trHeight w:val="875"/>
        </w:trPr>
        <w:tc>
          <w:tcPr>
            <w:tcW w:w="4962" w:type="dxa"/>
          </w:tcPr>
          <w:p w14:paraId="4C8E7363" w14:textId="7098DE13" w:rsidR="002F537E" w:rsidRDefault="002F537E" w:rsidP="002F537E">
            <w:pPr>
              <w:pStyle w:val="BodyText2"/>
              <w:numPr>
                <w:ilvl w:val="0"/>
                <w:numId w:val="7"/>
              </w:numPr>
              <w:spacing w:before="60"/>
              <w:ind w:left="425" w:hanging="425"/>
              <w:rPr>
                <w:sz w:val="16"/>
              </w:rPr>
            </w:pPr>
            <w:r w:rsidRPr="002417DD">
              <w:rPr>
                <w:sz w:val="16"/>
              </w:rPr>
              <w:lastRenderedPageBreak/>
              <w:t>Der Verwaltungsrat kann nach Anhörung des Betroffenen di</w:t>
            </w:r>
            <w:r>
              <w:rPr>
                <w:sz w:val="16"/>
              </w:rPr>
              <w:t>e Eintragung als stimmberechtig</w:t>
            </w:r>
            <w:r w:rsidRPr="002417DD">
              <w:rPr>
                <w:sz w:val="16"/>
              </w:rPr>
              <w:t xml:space="preserve">ter Aktionär </w:t>
            </w:r>
            <w:r>
              <w:rPr>
                <w:sz w:val="16"/>
              </w:rPr>
              <w:t xml:space="preserve">oder </w:t>
            </w:r>
            <w:proofErr w:type="spellStart"/>
            <w:r>
              <w:rPr>
                <w:sz w:val="16"/>
              </w:rPr>
              <w:t>Nominee</w:t>
            </w:r>
            <w:proofErr w:type="spellEnd"/>
            <w:r>
              <w:rPr>
                <w:sz w:val="16"/>
              </w:rPr>
              <w:t xml:space="preserve"> </w:t>
            </w:r>
            <w:r w:rsidRPr="002417DD">
              <w:rPr>
                <w:sz w:val="16"/>
              </w:rPr>
              <w:t xml:space="preserve">mit Rückwirkung auf das Datum der Eintragung </w:t>
            </w:r>
            <w:r>
              <w:rPr>
                <w:sz w:val="16"/>
              </w:rPr>
              <w:t>streichen, wenn diese durch fal</w:t>
            </w:r>
            <w:r w:rsidRPr="002417DD">
              <w:rPr>
                <w:sz w:val="16"/>
              </w:rPr>
              <w:t>sche Angaben des Erwerbers zustande gekommen ist, und ihn als Aktionär ohne Stimmrecht eintragen. Der Erwerber muss über die Streichung sofort informiert werden</w:t>
            </w:r>
            <w:r>
              <w:rPr>
                <w:sz w:val="16"/>
              </w:rPr>
              <w:t>.</w:t>
            </w:r>
          </w:p>
        </w:tc>
        <w:tc>
          <w:tcPr>
            <w:tcW w:w="596" w:type="dxa"/>
            <w:vMerge/>
          </w:tcPr>
          <w:p w14:paraId="0FED6C78" w14:textId="77777777" w:rsidR="002F537E" w:rsidRDefault="002F537E" w:rsidP="002F537E">
            <w:pPr>
              <w:ind w:left="425" w:hanging="425"/>
              <w:jc w:val="both"/>
              <w:rPr>
                <w:rFonts w:ascii="Verdana" w:hAnsi="Verdana"/>
                <w:sz w:val="16"/>
                <w:lang w:val="de-DE"/>
              </w:rPr>
            </w:pPr>
          </w:p>
        </w:tc>
        <w:tc>
          <w:tcPr>
            <w:tcW w:w="5074" w:type="dxa"/>
          </w:tcPr>
          <w:p w14:paraId="2266E05B" w14:textId="543E4E7D" w:rsidR="002F537E" w:rsidRPr="00B129A2" w:rsidRDefault="002F537E" w:rsidP="00C825D6">
            <w:pPr>
              <w:pStyle w:val="BodyText2"/>
              <w:numPr>
                <w:ilvl w:val="0"/>
                <w:numId w:val="35"/>
              </w:numPr>
              <w:spacing w:before="60"/>
              <w:ind w:left="425" w:hanging="425"/>
              <w:rPr>
                <w:sz w:val="16"/>
                <w:lang w:val="en-US"/>
              </w:rPr>
            </w:pPr>
            <w:r w:rsidRPr="00B129A2">
              <w:rPr>
                <w:sz w:val="16"/>
                <w:lang w:val="en-US"/>
              </w:rPr>
              <w:t>The Board of Directors may cancel – with retroactive effect to the date of original entry – the entry in the share register as a shareholder or nominee with voting rights of any shareholder who, upon subsequent inquiry, is found to have obtained such registration by making a false declaration, and may have them entered instead as a shareholder without voting rights. Any such cancellation must be communicated immediately to the shareholder concerned</w:t>
            </w:r>
            <w:r>
              <w:rPr>
                <w:sz w:val="16"/>
                <w:lang w:val="en-US"/>
              </w:rPr>
              <w:t>.</w:t>
            </w:r>
          </w:p>
        </w:tc>
      </w:tr>
      <w:tr w:rsidR="002F537E" w:rsidRPr="00305B8C" w14:paraId="32644CEB" w14:textId="77777777" w:rsidTr="00846CDA">
        <w:trPr>
          <w:trHeight w:val="440"/>
        </w:trPr>
        <w:tc>
          <w:tcPr>
            <w:tcW w:w="4962" w:type="dxa"/>
          </w:tcPr>
          <w:p w14:paraId="774841A4" w14:textId="38167E6C" w:rsidR="002F537E" w:rsidRDefault="002F537E" w:rsidP="002F537E">
            <w:pPr>
              <w:pStyle w:val="BodyText2"/>
              <w:numPr>
                <w:ilvl w:val="0"/>
                <w:numId w:val="7"/>
              </w:numPr>
              <w:spacing w:before="60"/>
              <w:ind w:left="425" w:hanging="425"/>
              <w:rPr>
                <w:sz w:val="16"/>
              </w:rPr>
            </w:pPr>
            <w:r w:rsidRPr="0047607F">
              <w:rPr>
                <w:sz w:val="16"/>
              </w:rPr>
              <w:t xml:space="preserve">Die Eintragungsbeschränkungen </w:t>
            </w:r>
            <w:r>
              <w:rPr>
                <w:sz w:val="16"/>
              </w:rPr>
              <w:t xml:space="preserve">gemäss diesem Artikel </w:t>
            </w:r>
            <w:r w:rsidRPr="0047607F">
              <w:rPr>
                <w:sz w:val="16"/>
              </w:rPr>
              <w:t>kommen a</w:t>
            </w:r>
            <w:r>
              <w:rPr>
                <w:sz w:val="16"/>
              </w:rPr>
              <w:t>uch bei der Ausübung von Bezugs-</w:t>
            </w:r>
            <w:r w:rsidRPr="0047607F">
              <w:rPr>
                <w:sz w:val="16"/>
              </w:rPr>
              <w:t xml:space="preserve">, </w:t>
            </w:r>
            <w:r>
              <w:rPr>
                <w:sz w:val="16"/>
              </w:rPr>
              <w:t>Vorkaufs-, Options- oder Wandel</w:t>
            </w:r>
            <w:r w:rsidRPr="0047607F">
              <w:rPr>
                <w:sz w:val="16"/>
              </w:rPr>
              <w:t>rechten zur Anwendung.</w:t>
            </w:r>
          </w:p>
        </w:tc>
        <w:tc>
          <w:tcPr>
            <w:tcW w:w="596" w:type="dxa"/>
            <w:vMerge/>
          </w:tcPr>
          <w:p w14:paraId="2A0B15F5" w14:textId="77777777" w:rsidR="002F537E" w:rsidRDefault="002F537E" w:rsidP="002F537E">
            <w:pPr>
              <w:ind w:left="425" w:hanging="425"/>
              <w:jc w:val="both"/>
              <w:rPr>
                <w:rFonts w:ascii="Verdana" w:hAnsi="Verdana"/>
                <w:sz w:val="16"/>
                <w:lang w:val="de-DE"/>
              </w:rPr>
            </w:pPr>
          </w:p>
        </w:tc>
        <w:tc>
          <w:tcPr>
            <w:tcW w:w="5074" w:type="dxa"/>
          </w:tcPr>
          <w:p w14:paraId="065628B5" w14:textId="7723684D" w:rsidR="002F537E" w:rsidRPr="00B129A2" w:rsidRDefault="002F537E" w:rsidP="00C825D6">
            <w:pPr>
              <w:pStyle w:val="BodyText2"/>
              <w:numPr>
                <w:ilvl w:val="0"/>
                <w:numId w:val="35"/>
              </w:numPr>
              <w:spacing w:before="60"/>
              <w:ind w:left="425" w:hanging="425"/>
              <w:rPr>
                <w:sz w:val="16"/>
                <w:lang w:val="en-US"/>
              </w:rPr>
            </w:pPr>
            <w:r w:rsidRPr="00B129A2">
              <w:rPr>
                <w:sz w:val="16"/>
                <w:lang w:val="en-US"/>
              </w:rPr>
              <w:t>The restrictions on registration according to this article also apply to shares acquired by the exercise of subscription, pre-emptive, option or conversion rights.</w:t>
            </w:r>
          </w:p>
        </w:tc>
      </w:tr>
      <w:tr w:rsidR="002F537E" w:rsidRPr="00305B8C" w14:paraId="3FD6D776" w14:textId="77777777" w:rsidTr="00846CDA">
        <w:trPr>
          <w:trHeight w:val="875"/>
        </w:trPr>
        <w:tc>
          <w:tcPr>
            <w:tcW w:w="4962" w:type="dxa"/>
          </w:tcPr>
          <w:p w14:paraId="4CE7B0CE" w14:textId="38157EDE" w:rsidR="002F537E" w:rsidRDefault="002F537E" w:rsidP="002F537E">
            <w:pPr>
              <w:pStyle w:val="BodyText2"/>
              <w:numPr>
                <w:ilvl w:val="0"/>
                <w:numId w:val="7"/>
              </w:numPr>
              <w:spacing w:before="60"/>
              <w:ind w:left="425" w:hanging="425"/>
              <w:rPr>
                <w:sz w:val="16"/>
              </w:rPr>
            </w:pPr>
            <w:r w:rsidRPr="00305B8C">
              <w:rPr>
                <w:sz w:val="16"/>
              </w:rPr>
              <w:t>Juristische Personen und rechtsfähige Personengesellschaften, die untereinander kapital- oder stimmenmässig, durch einheitliche Leitung oder auf ähnliche Weise zusammengefasst sind, sowie natürliche oder juristische Personen oder Personengesellschaften, die im Hinblick auf eine Umgehung der Eintragungsbeschränkung koordiniert vorgehen, gelten als ein Erwerber.</w:t>
            </w:r>
          </w:p>
        </w:tc>
        <w:tc>
          <w:tcPr>
            <w:tcW w:w="596" w:type="dxa"/>
            <w:vMerge/>
          </w:tcPr>
          <w:p w14:paraId="6F76BC14" w14:textId="77777777" w:rsidR="002F537E" w:rsidRDefault="002F537E" w:rsidP="002F537E">
            <w:pPr>
              <w:ind w:left="425" w:hanging="425"/>
              <w:jc w:val="both"/>
              <w:rPr>
                <w:rFonts w:ascii="Verdana" w:hAnsi="Verdana"/>
                <w:sz w:val="16"/>
                <w:lang w:val="de-DE"/>
              </w:rPr>
            </w:pPr>
          </w:p>
        </w:tc>
        <w:tc>
          <w:tcPr>
            <w:tcW w:w="5074" w:type="dxa"/>
          </w:tcPr>
          <w:p w14:paraId="391A4506" w14:textId="1E96EBD4" w:rsidR="002F537E" w:rsidRPr="00B129A2" w:rsidRDefault="002F537E" w:rsidP="00C825D6">
            <w:pPr>
              <w:pStyle w:val="BodyText2"/>
              <w:numPr>
                <w:ilvl w:val="0"/>
                <w:numId w:val="35"/>
              </w:numPr>
              <w:spacing w:before="60"/>
              <w:ind w:left="425" w:hanging="425"/>
              <w:rPr>
                <w:sz w:val="16"/>
                <w:lang w:val="en-US"/>
              </w:rPr>
            </w:pPr>
            <w:r w:rsidRPr="00B129A2">
              <w:rPr>
                <w:sz w:val="16"/>
                <w:lang w:val="en-US"/>
              </w:rPr>
              <w:t>Legal entities and partnerships with legal capacity, grouped together in terms of capital or votes, by common management or in a similar manner, as well as natural or legal persons or partnerships acting in a coordinated manner with a view to circumventing the restriction on registration, shall be considered as one acquirer.</w:t>
            </w:r>
          </w:p>
        </w:tc>
      </w:tr>
      <w:tr w:rsidR="002F537E" w14:paraId="7521B9AB" w14:textId="77777777" w:rsidTr="00846CDA">
        <w:tc>
          <w:tcPr>
            <w:tcW w:w="4962" w:type="dxa"/>
          </w:tcPr>
          <w:p w14:paraId="61037D1A" w14:textId="77777777" w:rsidR="002F537E" w:rsidRPr="00305B8C" w:rsidRDefault="002F537E" w:rsidP="002F537E">
            <w:pPr>
              <w:jc w:val="center"/>
              <w:rPr>
                <w:rFonts w:ascii="Verdana" w:hAnsi="Verdana"/>
                <w:b/>
                <w:sz w:val="16"/>
                <w:lang w:val="en-US"/>
              </w:rPr>
            </w:pPr>
          </w:p>
          <w:p w14:paraId="5DE342CF" w14:textId="77777777" w:rsidR="002F537E" w:rsidRPr="006303D2" w:rsidRDefault="002F537E" w:rsidP="002F537E">
            <w:pPr>
              <w:jc w:val="center"/>
              <w:rPr>
                <w:rFonts w:ascii="Verdana" w:hAnsi="Verdana"/>
                <w:b/>
                <w:sz w:val="16"/>
                <w:lang w:val="en-US"/>
              </w:rPr>
            </w:pPr>
            <w:r w:rsidRPr="006303D2">
              <w:rPr>
                <w:rFonts w:ascii="Verdana" w:hAnsi="Verdana"/>
                <w:b/>
                <w:sz w:val="16"/>
                <w:lang w:val="en-US"/>
              </w:rPr>
              <w:t>Art. 8</w:t>
            </w:r>
          </w:p>
          <w:p w14:paraId="7286DC68" w14:textId="77777777" w:rsidR="002F537E" w:rsidRPr="006303D2" w:rsidRDefault="002F537E" w:rsidP="002F537E">
            <w:pPr>
              <w:jc w:val="center"/>
              <w:rPr>
                <w:rFonts w:ascii="Verdana" w:hAnsi="Verdana"/>
                <w:b/>
                <w:sz w:val="16"/>
                <w:lang w:val="en-US"/>
              </w:rPr>
            </w:pPr>
            <w:proofErr w:type="spellStart"/>
            <w:r w:rsidRPr="006303D2">
              <w:rPr>
                <w:rFonts w:ascii="Verdana" w:hAnsi="Verdana"/>
                <w:b/>
                <w:sz w:val="16"/>
                <w:lang w:val="en-US"/>
              </w:rPr>
              <w:t>Aktienzertifikate</w:t>
            </w:r>
            <w:proofErr w:type="spellEnd"/>
            <w:r w:rsidRPr="006303D2">
              <w:rPr>
                <w:rFonts w:ascii="Verdana" w:hAnsi="Verdana"/>
                <w:b/>
                <w:sz w:val="16"/>
                <w:lang w:val="en-US"/>
              </w:rPr>
              <w:t xml:space="preserve"> und </w:t>
            </w:r>
            <w:proofErr w:type="spellStart"/>
            <w:r w:rsidRPr="006303D2">
              <w:rPr>
                <w:rFonts w:ascii="Verdana" w:hAnsi="Verdana"/>
                <w:b/>
                <w:sz w:val="16"/>
                <w:lang w:val="en-US"/>
              </w:rPr>
              <w:t>Wertrechte</w:t>
            </w:r>
            <w:proofErr w:type="spellEnd"/>
          </w:p>
          <w:p w14:paraId="3AC2807C" w14:textId="77777777" w:rsidR="002F537E" w:rsidRPr="006303D2" w:rsidRDefault="002F537E" w:rsidP="002F537E">
            <w:pPr>
              <w:jc w:val="center"/>
              <w:rPr>
                <w:rFonts w:ascii="Verdana" w:hAnsi="Verdana"/>
                <w:b/>
                <w:sz w:val="16"/>
                <w:lang w:val="en-US"/>
              </w:rPr>
            </w:pPr>
          </w:p>
        </w:tc>
        <w:tc>
          <w:tcPr>
            <w:tcW w:w="596" w:type="dxa"/>
          </w:tcPr>
          <w:p w14:paraId="52C7F4E1" w14:textId="77777777" w:rsidR="002F537E" w:rsidRPr="006303D2" w:rsidRDefault="002F537E" w:rsidP="002F537E">
            <w:pPr>
              <w:pStyle w:val="BodyText2"/>
              <w:jc w:val="center"/>
              <w:rPr>
                <w:b/>
                <w:sz w:val="16"/>
                <w:lang w:val="en-US"/>
              </w:rPr>
            </w:pPr>
          </w:p>
        </w:tc>
        <w:tc>
          <w:tcPr>
            <w:tcW w:w="5074" w:type="dxa"/>
          </w:tcPr>
          <w:p w14:paraId="5C0A41CA" w14:textId="77777777" w:rsidR="002F537E" w:rsidRPr="006303D2" w:rsidRDefault="002F537E" w:rsidP="002F537E">
            <w:pPr>
              <w:jc w:val="center"/>
              <w:rPr>
                <w:rFonts w:ascii="Verdana" w:hAnsi="Verdana"/>
                <w:b/>
                <w:sz w:val="16"/>
                <w:lang w:val="en-US"/>
              </w:rPr>
            </w:pPr>
          </w:p>
          <w:p w14:paraId="108ACB5C" w14:textId="77777777" w:rsidR="002F537E" w:rsidRPr="00B129A2" w:rsidRDefault="002F537E" w:rsidP="002F537E">
            <w:pPr>
              <w:jc w:val="center"/>
              <w:rPr>
                <w:rFonts w:ascii="Verdana" w:hAnsi="Verdana"/>
                <w:b/>
                <w:sz w:val="16"/>
                <w:lang w:val="en-US"/>
              </w:rPr>
            </w:pPr>
            <w:r w:rsidRPr="006303D2">
              <w:rPr>
                <w:rFonts w:ascii="Verdana" w:hAnsi="Verdana"/>
                <w:b/>
                <w:sz w:val="16"/>
                <w:lang w:val="en-US"/>
              </w:rPr>
              <w:t>Art. 8</w:t>
            </w:r>
          </w:p>
          <w:p w14:paraId="37A84E42" w14:textId="77777777" w:rsidR="002F537E" w:rsidRPr="00B129A2" w:rsidRDefault="002F537E" w:rsidP="002F537E">
            <w:pPr>
              <w:jc w:val="center"/>
              <w:rPr>
                <w:rFonts w:ascii="Verdana" w:hAnsi="Verdana"/>
                <w:b/>
                <w:sz w:val="16"/>
                <w:lang w:val="en-US"/>
              </w:rPr>
            </w:pPr>
            <w:r w:rsidRPr="00B129A2">
              <w:rPr>
                <w:rFonts w:ascii="Verdana" w:hAnsi="Verdana"/>
                <w:b/>
                <w:sz w:val="16"/>
                <w:lang w:val="en-US"/>
              </w:rPr>
              <w:t>Share certificates and book entry securities</w:t>
            </w:r>
          </w:p>
          <w:p w14:paraId="4ECEF88B" w14:textId="77777777" w:rsidR="002F537E" w:rsidRPr="006303D2" w:rsidRDefault="002F537E" w:rsidP="002F537E">
            <w:pPr>
              <w:jc w:val="center"/>
              <w:rPr>
                <w:rFonts w:ascii="Verdana" w:hAnsi="Verdana"/>
                <w:b/>
                <w:sz w:val="16"/>
                <w:lang w:val="en-US"/>
              </w:rPr>
            </w:pPr>
          </w:p>
        </w:tc>
      </w:tr>
      <w:tr w:rsidR="002F537E" w14:paraId="7BD668CF" w14:textId="77777777" w:rsidTr="00846CDA">
        <w:trPr>
          <w:trHeight w:val="594"/>
        </w:trPr>
        <w:tc>
          <w:tcPr>
            <w:tcW w:w="4962" w:type="dxa"/>
          </w:tcPr>
          <w:p w14:paraId="6B8C1170" w14:textId="4EE9B889" w:rsidR="002F537E" w:rsidRPr="00754952" w:rsidRDefault="002F537E" w:rsidP="00C825D6">
            <w:pPr>
              <w:pStyle w:val="BodyText2"/>
              <w:numPr>
                <w:ilvl w:val="0"/>
                <w:numId w:val="24"/>
              </w:numPr>
              <w:spacing w:before="60"/>
              <w:ind w:left="425" w:hanging="425"/>
              <w:rPr>
                <w:sz w:val="16"/>
              </w:rPr>
            </w:pPr>
            <w:r w:rsidRPr="00BC36AF">
              <w:rPr>
                <w:sz w:val="16"/>
              </w:rPr>
              <w:t>Die Gesellschaft gibt ihre Aktien in Form von Einzelurkunde</w:t>
            </w:r>
            <w:r>
              <w:rPr>
                <w:sz w:val="16"/>
              </w:rPr>
              <w:t>n, Globalurkunden oder Wertrech</w:t>
            </w:r>
            <w:r w:rsidRPr="00BC36AF">
              <w:rPr>
                <w:sz w:val="16"/>
              </w:rPr>
              <w:t xml:space="preserve">ten aus. </w:t>
            </w:r>
          </w:p>
        </w:tc>
        <w:tc>
          <w:tcPr>
            <w:tcW w:w="596" w:type="dxa"/>
            <w:vMerge w:val="restart"/>
          </w:tcPr>
          <w:p w14:paraId="7785DFA2" w14:textId="77777777" w:rsidR="002F537E" w:rsidRDefault="002F537E" w:rsidP="002F537E">
            <w:pPr>
              <w:pStyle w:val="BodyText2"/>
              <w:spacing w:before="60"/>
              <w:ind w:left="425" w:hanging="425"/>
              <w:rPr>
                <w:sz w:val="16"/>
              </w:rPr>
            </w:pPr>
          </w:p>
        </w:tc>
        <w:tc>
          <w:tcPr>
            <w:tcW w:w="5074" w:type="dxa"/>
          </w:tcPr>
          <w:p w14:paraId="6D65F78A" w14:textId="5D522C90" w:rsidR="002F537E" w:rsidRPr="00AA1E79" w:rsidRDefault="002F537E" w:rsidP="00C825D6">
            <w:pPr>
              <w:pStyle w:val="BodyText2"/>
              <w:numPr>
                <w:ilvl w:val="0"/>
                <w:numId w:val="36"/>
              </w:numPr>
              <w:spacing w:before="60"/>
              <w:ind w:left="425" w:hanging="425"/>
              <w:rPr>
                <w:sz w:val="16"/>
                <w:lang w:val="en-US"/>
              </w:rPr>
            </w:pPr>
            <w:r w:rsidRPr="00B129A2">
              <w:rPr>
                <w:sz w:val="16"/>
                <w:lang w:val="en-US"/>
              </w:rPr>
              <w:t>The Company may issue shares in the form of individual securities, global certificates or uncertificated securities.</w:t>
            </w:r>
          </w:p>
        </w:tc>
      </w:tr>
      <w:tr w:rsidR="002F537E" w14:paraId="0FE17748" w14:textId="77777777" w:rsidTr="00846CDA">
        <w:trPr>
          <w:trHeight w:val="593"/>
        </w:trPr>
        <w:tc>
          <w:tcPr>
            <w:tcW w:w="4962" w:type="dxa"/>
          </w:tcPr>
          <w:p w14:paraId="65E90F4B" w14:textId="0FA93805" w:rsidR="002F537E" w:rsidRPr="00BC36AF" w:rsidRDefault="002F537E" w:rsidP="00C825D6">
            <w:pPr>
              <w:pStyle w:val="BodyText2"/>
              <w:numPr>
                <w:ilvl w:val="0"/>
                <w:numId w:val="24"/>
              </w:numPr>
              <w:spacing w:before="60"/>
              <w:ind w:left="425" w:hanging="425"/>
              <w:rPr>
                <w:sz w:val="16"/>
              </w:rPr>
            </w:pPr>
            <w:r w:rsidRPr="00BC36AF">
              <w:rPr>
                <w:sz w:val="16"/>
              </w:rPr>
              <w:t>Der Gesellschaft steht es im Rahmen der gesetzlichen Vorgaben frei, ihre in einer dieser Formen ausgegebenen Aktien jederzeit und ohne Zustimmung der Aktionäre in eine andere Form umzuwandeln. Sie trägt dafür die Kosten.</w:t>
            </w:r>
          </w:p>
        </w:tc>
        <w:tc>
          <w:tcPr>
            <w:tcW w:w="596" w:type="dxa"/>
            <w:vMerge/>
          </w:tcPr>
          <w:p w14:paraId="38FC9447" w14:textId="77777777" w:rsidR="002F537E" w:rsidRDefault="002F537E" w:rsidP="002F537E">
            <w:pPr>
              <w:pStyle w:val="BodyText2"/>
              <w:spacing w:before="60"/>
              <w:ind w:left="425" w:hanging="425"/>
              <w:rPr>
                <w:sz w:val="16"/>
              </w:rPr>
            </w:pPr>
          </w:p>
        </w:tc>
        <w:tc>
          <w:tcPr>
            <w:tcW w:w="5074" w:type="dxa"/>
          </w:tcPr>
          <w:p w14:paraId="4CD12E13" w14:textId="23CF6B13" w:rsidR="002F537E" w:rsidRPr="00B129A2" w:rsidRDefault="002F537E" w:rsidP="00C825D6">
            <w:pPr>
              <w:pStyle w:val="BodyText2"/>
              <w:numPr>
                <w:ilvl w:val="0"/>
                <w:numId w:val="36"/>
              </w:numPr>
              <w:spacing w:before="60"/>
              <w:ind w:left="425" w:hanging="425"/>
              <w:rPr>
                <w:sz w:val="16"/>
                <w:lang w:val="en-US"/>
              </w:rPr>
            </w:pPr>
            <w:r w:rsidRPr="00B129A2">
              <w:rPr>
                <w:sz w:val="16"/>
                <w:lang w:val="en-US"/>
              </w:rPr>
              <w:t>To the extent permitted by law, the Company, at its sole discretion and without seeking shareholder approval, may transform shares issued in one of these forms into another such form at any time. The costs of such transformation shall be borne by the Company.</w:t>
            </w:r>
          </w:p>
        </w:tc>
      </w:tr>
      <w:tr w:rsidR="002F537E" w14:paraId="15227967" w14:textId="77777777" w:rsidTr="00846CDA">
        <w:trPr>
          <w:trHeight w:val="593"/>
        </w:trPr>
        <w:tc>
          <w:tcPr>
            <w:tcW w:w="4962" w:type="dxa"/>
          </w:tcPr>
          <w:p w14:paraId="57A9B99B" w14:textId="1D17BAD4" w:rsidR="002F537E" w:rsidRPr="00BC36AF" w:rsidRDefault="002F537E" w:rsidP="00C825D6">
            <w:pPr>
              <w:pStyle w:val="BodyText2"/>
              <w:numPr>
                <w:ilvl w:val="0"/>
                <w:numId w:val="24"/>
              </w:numPr>
              <w:spacing w:before="60"/>
              <w:ind w:left="425" w:hanging="425"/>
              <w:rPr>
                <w:sz w:val="16"/>
              </w:rPr>
            </w:pPr>
            <w:r w:rsidRPr="00BC36AF">
              <w:rPr>
                <w:sz w:val="16"/>
              </w:rPr>
              <w:t xml:space="preserve">Der Aktionär hat keinen Anspruch auf Umwandlung von in bestimmter Form ausgegebenen Aktien in eine andere Form. Jeder Aktionär kann jedoch von der Gesellschaft jederzeit die Ausstellung einer </w:t>
            </w:r>
            <w:r w:rsidR="007B4FAB" w:rsidRPr="00BC36AF">
              <w:rPr>
                <w:sz w:val="16"/>
              </w:rPr>
              <w:t>Beschein</w:t>
            </w:r>
            <w:r w:rsidR="007B4FAB">
              <w:rPr>
                <w:sz w:val="16"/>
              </w:rPr>
              <w:t>i</w:t>
            </w:r>
            <w:r w:rsidR="007B4FAB" w:rsidRPr="00BC36AF">
              <w:rPr>
                <w:sz w:val="16"/>
              </w:rPr>
              <w:t>gung,</w:t>
            </w:r>
            <w:r w:rsidRPr="00BC36AF">
              <w:rPr>
                <w:sz w:val="16"/>
              </w:rPr>
              <w:t xml:space="preserve"> über die von ihm gemäss Aktienbuch gehaltenen Namenaktien verlangen.</w:t>
            </w:r>
          </w:p>
        </w:tc>
        <w:tc>
          <w:tcPr>
            <w:tcW w:w="596" w:type="dxa"/>
            <w:vMerge/>
          </w:tcPr>
          <w:p w14:paraId="25424ED8" w14:textId="77777777" w:rsidR="002F537E" w:rsidRDefault="002F537E" w:rsidP="002F537E">
            <w:pPr>
              <w:pStyle w:val="BodyText2"/>
              <w:spacing w:before="60"/>
              <w:ind w:left="425" w:hanging="425"/>
              <w:rPr>
                <w:sz w:val="16"/>
              </w:rPr>
            </w:pPr>
          </w:p>
        </w:tc>
        <w:tc>
          <w:tcPr>
            <w:tcW w:w="5074" w:type="dxa"/>
          </w:tcPr>
          <w:p w14:paraId="7BD77EA5" w14:textId="1F7403D9" w:rsidR="002F537E" w:rsidRPr="00B129A2" w:rsidRDefault="002F537E" w:rsidP="00C825D6">
            <w:pPr>
              <w:pStyle w:val="BodyText2"/>
              <w:numPr>
                <w:ilvl w:val="0"/>
                <w:numId w:val="36"/>
              </w:numPr>
              <w:spacing w:before="60"/>
              <w:ind w:left="425" w:hanging="425"/>
              <w:rPr>
                <w:sz w:val="16"/>
                <w:lang w:val="en-US"/>
              </w:rPr>
            </w:pPr>
            <w:r w:rsidRPr="00B129A2">
              <w:rPr>
                <w:sz w:val="16"/>
                <w:lang w:val="en-US"/>
              </w:rPr>
              <w:t xml:space="preserve">Shareholders shall have no entitlement to have shares issued in one </w:t>
            </w:r>
            <w:proofErr w:type="gramStart"/>
            <w:r w:rsidRPr="00B129A2">
              <w:rPr>
                <w:sz w:val="16"/>
                <w:lang w:val="en-US"/>
              </w:rPr>
              <w:t>particular form</w:t>
            </w:r>
            <w:proofErr w:type="gramEnd"/>
            <w:r w:rsidRPr="00B129A2">
              <w:rPr>
                <w:sz w:val="16"/>
                <w:lang w:val="en-US"/>
              </w:rPr>
              <w:t xml:space="preserve"> transformed into another form. Any shareholder </w:t>
            </w:r>
            <w:proofErr w:type="gramStart"/>
            <w:r w:rsidRPr="00B129A2">
              <w:rPr>
                <w:sz w:val="16"/>
                <w:lang w:val="en-US"/>
              </w:rPr>
              <w:t>is however</w:t>
            </w:r>
            <w:proofErr w:type="gramEnd"/>
            <w:r w:rsidRPr="00B129A2">
              <w:rPr>
                <w:sz w:val="16"/>
                <w:lang w:val="en-US"/>
              </w:rPr>
              <w:t xml:space="preserve"> entitled to request at any time that the Company issue a certificate stating the number of shares registered in his name in the share register.</w:t>
            </w:r>
          </w:p>
        </w:tc>
      </w:tr>
      <w:tr w:rsidR="002F537E" w14:paraId="00EE68FA" w14:textId="77777777" w:rsidTr="00846CDA">
        <w:trPr>
          <w:trHeight w:val="593"/>
        </w:trPr>
        <w:tc>
          <w:tcPr>
            <w:tcW w:w="4962" w:type="dxa"/>
          </w:tcPr>
          <w:p w14:paraId="669828D3" w14:textId="03C6E33F" w:rsidR="002F537E" w:rsidRPr="00BC36AF" w:rsidRDefault="002F537E" w:rsidP="00C825D6">
            <w:pPr>
              <w:pStyle w:val="BodyText2"/>
              <w:numPr>
                <w:ilvl w:val="0"/>
                <w:numId w:val="24"/>
              </w:numPr>
              <w:spacing w:before="60"/>
              <w:ind w:left="425" w:hanging="425"/>
              <w:rPr>
                <w:sz w:val="16"/>
              </w:rPr>
            </w:pPr>
            <w:r w:rsidRPr="00AE4177">
              <w:rPr>
                <w:sz w:val="16"/>
              </w:rPr>
              <w:t>Eine Verfügung über Aktien in der Form von Wertrechten, die nicht im Hauptregister einer Verwahrungsstelle eingetragen sind, erfolgt durch schriftliche Abtretungserklärung und setzt zu ihrer Gültigk</w:t>
            </w:r>
            <w:r>
              <w:rPr>
                <w:sz w:val="16"/>
              </w:rPr>
              <w:t>eit voraus, dass sie der Gesell</w:t>
            </w:r>
            <w:r w:rsidRPr="00AE4177">
              <w:rPr>
                <w:sz w:val="16"/>
              </w:rPr>
              <w:t>schaft angezeigt wird. Im Unterschied dazu erfolgt eine Verfügung über Aktien, die in der Form von Bucheffekten auf der Grundlage von im Hauptregis</w:t>
            </w:r>
            <w:r>
              <w:rPr>
                <w:sz w:val="16"/>
              </w:rPr>
              <w:t>ter einer Verwahrungsstelle ein</w:t>
            </w:r>
            <w:r w:rsidRPr="00AE4177">
              <w:rPr>
                <w:sz w:val="16"/>
              </w:rPr>
              <w:t>getragenen We</w:t>
            </w:r>
            <w:r>
              <w:rPr>
                <w:sz w:val="16"/>
              </w:rPr>
              <w:t>rtrechten bestehen, ausschliess</w:t>
            </w:r>
            <w:r w:rsidRPr="00AE4177">
              <w:rPr>
                <w:sz w:val="16"/>
              </w:rPr>
              <w:t>lich durch Buchungen in Effektenkonten gemäss anwendbarem Recht, ohne Notwendigkeit einer Anzeige an die Gesellschaft; eine Verfügung solcher Akti</w:t>
            </w:r>
            <w:r>
              <w:rPr>
                <w:sz w:val="16"/>
              </w:rPr>
              <w:t>en durch Abtretung ohne entspre</w:t>
            </w:r>
            <w:r w:rsidRPr="00AE4177">
              <w:rPr>
                <w:sz w:val="16"/>
              </w:rPr>
              <w:t>chende Buchung in einem Effektenkonto ist ausgeschlossen.</w:t>
            </w:r>
          </w:p>
        </w:tc>
        <w:tc>
          <w:tcPr>
            <w:tcW w:w="596" w:type="dxa"/>
            <w:vMerge/>
          </w:tcPr>
          <w:p w14:paraId="766320A2" w14:textId="77777777" w:rsidR="002F537E" w:rsidRDefault="002F537E" w:rsidP="002F537E">
            <w:pPr>
              <w:pStyle w:val="BodyText2"/>
              <w:spacing w:before="60"/>
              <w:ind w:left="425" w:hanging="425"/>
              <w:rPr>
                <w:sz w:val="16"/>
              </w:rPr>
            </w:pPr>
          </w:p>
        </w:tc>
        <w:tc>
          <w:tcPr>
            <w:tcW w:w="5074" w:type="dxa"/>
          </w:tcPr>
          <w:p w14:paraId="53E7DBF7" w14:textId="6671CAB8" w:rsidR="002F537E" w:rsidRPr="00B129A2" w:rsidRDefault="002F537E" w:rsidP="00C825D6">
            <w:pPr>
              <w:pStyle w:val="BodyText2"/>
              <w:numPr>
                <w:ilvl w:val="0"/>
                <w:numId w:val="36"/>
              </w:numPr>
              <w:spacing w:before="60"/>
              <w:ind w:left="425" w:hanging="425"/>
              <w:rPr>
                <w:sz w:val="16"/>
                <w:lang w:val="en-US"/>
              </w:rPr>
            </w:pPr>
            <w:r w:rsidRPr="00B129A2">
              <w:rPr>
                <w:sz w:val="16"/>
                <w:lang w:val="en-US"/>
              </w:rPr>
              <w:t xml:space="preserve">A disposition of shares in the form of uncertificated securities which are not entered into the main register of a custodian shall be </w:t>
            </w:r>
            <w:proofErr w:type="gramStart"/>
            <w:r w:rsidRPr="00B129A2">
              <w:rPr>
                <w:sz w:val="16"/>
                <w:lang w:val="en-US"/>
              </w:rPr>
              <w:t>effected</w:t>
            </w:r>
            <w:proofErr w:type="gramEnd"/>
            <w:r w:rsidRPr="00B129A2">
              <w:rPr>
                <w:sz w:val="16"/>
                <w:lang w:val="en-US"/>
              </w:rPr>
              <w:t xml:space="preserve"> by way of a written declaration of assignment and </w:t>
            </w:r>
            <w:proofErr w:type="gramStart"/>
            <w:r w:rsidRPr="00B129A2">
              <w:rPr>
                <w:sz w:val="16"/>
                <w:lang w:val="en-US"/>
              </w:rPr>
              <w:t>requires</w:t>
            </w:r>
            <w:proofErr w:type="gramEnd"/>
            <w:r w:rsidRPr="00B129A2">
              <w:rPr>
                <w:sz w:val="16"/>
                <w:lang w:val="en-US"/>
              </w:rPr>
              <w:t>, as a condition for validity, to be notified to the Company. In contrast, a disposition of shares which exist in the form of book entry securities based on uncertificated securities entered into the main register of a custodian shall solely be effected by entries in securities accounts in accordance with applicable law, without prerequisite to be notified to the Company; a disposition of such shares by way of assignment without corresponding entry in a securities account is excluded.</w:t>
            </w:r>
          </w:p>
        </w:tc>
      </w:tr>
      <w:tr w:rsidR="002F537E" w14:paraId="5A11FF56" w14:textId="77777777" w:rsidTr="00846CDA">
        <w:tc>
          <w:tcPr>
            <w:tcW w:w="4962" w:type="dxa"/>
          </w:tcPr>
          <w:p w14:paraId="55F12B45" w14:textId="77777777" w:rsidR="002F537E" w:rsidRDefault="002F537E" w:rsidP="002F537E">
            <w:pPr>
              <w:jc w:val="center"/>
              <w:rPr>
                <w:rFonts w:ascii="Verdana" w:hAnsi="Verdana"/>
                <w:b/>
                <w:sz w:val="16"/>
                <w:lang w:val="en-US"/>
              </w:rPr>
            </w:pPr>
          </w:p>
          <w:p w14:paraId="225B757B" w14:textId="7EFB52C7" w:rsidR="002F537E" w:rsidRPr="006303D2" w:rsidRDefault="002F537E" w:rsidP="002F537E">
            <w:pPr>
              <w:jc w:val="center"/>
              <w:rPr>
                <w:rFonts w:ascii="Verdana" w:hAnsi="Verdana"/>
                <w:b/>
                <w:sz w:val="16"/>
                <w:lang w:val="en-US"/>
              </w:rPr>
            </w:pPr>
            <w:r w:rsidRPr="006303D2">
              <w:rPr>
                <w:rFonts w:ascii="Verdana" w:hAnsi="Verdana"/>
                <w:b/>
                <w:sz w:val="16"/>
                <w:lang w:val="en-US"/>
              </w:rPr>
              <w:t>Art. 9</w:t>
            </w:r>
          </w:p>
          <w:p w14:paraId="56318661" w14:textId="306CE0A7" w:rsidR="002F537E" w:rsidRPr="006303D2" w:rsidRDefault="002F537E" w:rsidP="002F537E">
            <w:pPr>
              <w:jc w:val="center"/>
              <w:rPr>
                <w:rFonts w:ascii="Verdana" w:hAnsi="Verdana"/>
                <w:b/>
                <w:sz w:val="16"/>
                <w:lang w:val="en-US"/>
              </w:rPr>
            </w:pPr>
          </w:p>
        </w:tc>
        <w:tc>
          <w:tcPr>
            <w:tcW w:w="596" w:type="dxa"/>
          </w:tcPr>
          <w:p w14:paraId="44FD230F" w14:textId="77777777" w:rsidR="002F537E" w:rsidRDefault="002F537E" w:rsidP="002F537E">
            <w:pPr>
              <w:pStyle w:val="BodyText2"/>
              <w:rPr>
                <w:sz w:val="16"/>
              </w:rPr>
            </w:pPr>
          </w:p>
        </w:tc>
        <w:tc>
          <w:tcPr>
            <w:tcW w:w="5074" w:type="dxa"/>
          </w:tcPr>
          <w:p w14:paraId="3E36DEE6" w14:textId="3AEC47CD" w:rsidR="002F537E" w:rsidRPr="006E5238" w:rsidRDefault="002F537E" w:rsidP="002F537E">
            <w:pPr>
              <w:pStyle w:val="BodyText2"/>
              <w:spacing w:beforeLines="60" w:before="144"/>
              <w:ind w:left="501"/>
              <w:jc w:val="center"/>
              <w:rPr>
                <w:b/>
                <w:sz w:val="16"/>
                <w:lang w:val="en-US"/>
              </w:rPr>
            </w:pPr>
            <w:r w:rsidRPr="00A1421C">
              <w:rPr>
                <w:b/>
                <w:sz w:val="16"/>
                <w:lang w:val="en-US"/>
              </w:rPr>
              <w:t xml:space="preserve">Art. </w:t>
            </w:r>
            <w:r>
              <w:rPr>
                <w:b/>
                <w:sz w:val="16"/>
                <w:lang w:val="en-US"/>
              </w:rPr>
              <w:t>9</w:t>
            </w:r>
            <w:r>
              <w:rPr>
                <w:b/>
                <w:sz w:val="16"/>
                <w:lang w:val="en-US"/>
              </w:rPr>
              <w:br/>
            </w:r>
          </w:p>
        </w:tc>
      </w:tr>
      <w:tr w:rsidR="002F537E" w:rsidRPr="00BF1ED2" w14:paraId="436014E9" w14:textId="77777777" w:rsidTr="00846CDA">
        <w:tc>
          <w:tcPr>
            <w:tcW w:w="4962" w:type="dxa"/>
          </w:tcPr>
          <w:p w14:paraId="3944F824" w14:textId="49A8E73E" w:rsidR="002F537E" w:rsidRPr="00F130D2" w:rsidRDefault="002F537E" w:rsidP="002F537E">
            <w:pPr>
              <w:pStyle w:val="BodyText2"/>
              <w:tabs>
                <w:tab w:val="left" w:pos="884"/>
              </w:tabs>
              <w:spacing w:before="60"/>
              <w:rPr>
                <w:sz w:val="16"/>
              </w:rPr>
            </w:pPr>
            <w:r>
              <w:rPr>
                <w:sz w:val="16"/>
                <w:lang w:val="en-US"/>
              </w:rPr>
              <w:t>Aufgehoben</w:t>
            </w:r>
          </w:p>
        </w:tc>
        <w:tc>
          <w:tcPr>
            <w:tcW w:w="596" w:type="dxa"/>
          </w:tcPr>
          <w:p w14:paraId="25F0477C" w14:textId="77777777" w:rsidR="002F537E" w:rsidRPr="00F130D2" w:rsidRDefault="002F537E" w:rsidP="002F537E">
            <w:pPr>
              <w:pStyle w:val="BodyText2"/>
              <w:spacing w:before="60"/>
              <w:rPr>
                <w:sz w:val="16"/>
              </w:rPr>
            </w:pPr>
          </w:p>
        </w:tc>
        <w:tc>
          <w:tcPr>
            <w:tcW w:w="5074" w:type="dxa"/>
          </w:tcPr>
          <w:p w14:paraId="0DF321B0" w14:textId="6FBC0D90" w:rsidR="002F537E" w:rsidRPr="00BF1ED2" w:rsidRDefault="002F537E" w:rsidP="002F537E">
            <w:pPr>
              <w:pStyle w:val="BodyText2"/>
              <w:tabs>
                <w:tab w:val="left" w:pos="884"/>
              </w:tabs>
              <w:spacing w:before="60"/>
              <w:rPr>
                <w:sz w:val="16"/>
                <w:lang w:val="en-US"/>
              </w:rPr>
            </w:pPr>
            <w:r>
              <w:rPr>
                <w:sz w:val="16"/>
                <w:lang w:val="en-US"/>
              </w:rPr>
              <w:t>Cancelled</w:t>
            </w:r>
          </w:p>
        </w:tc>
      </w:tr>
      <w:tr w:rsidR="002F537E" w:rsidRPr="00A1421C" w14:paraId="5A8E9A38" w14:textId="77777777" w:rsidTr="00846CDA">
        <w:tc>
          <w:tcPr>
            <w:tcW w:w="4962" w:type="dxa"/>
          </w:tcPr>
          <w:p w14:paraId="78041013" w14:textId="77777777" w:rsidR="002F537E" w:rsidRPr="00BF1ED2" w:rsidRDefault="002F537E" w:rsidP="002F537E">
            <w:pPr>
              <w:spacing w:line="312" w:lineRule="auto"/>
              <w:jc w:val="center"/>
              <w:rPr>
                <w:rFonts w:ascii="Verdana" w:hAnsi="Verdana"/>
                <w:b/>
                <w:sz w:val="16"/>
                <w:lang w:val="en-US"/>
              </w:rPr>
            </w:pPr>
          </w:p>
          <w:p w14:paraId="4EE992A0" w14:textId="77777777" w:rsidR="002F537E" w:rsidRPr="001D51C6" w:rsidRDefault="002F537E" w:rsidP="002F537E">
            <w:pPr>
              <w:spacing w:after="240" w:line="312" w:lineRule="auto"/>
              <w:jc w:val="center"/>
              <w:rPr>
                <w:rFonts w:ascii="Verdana" w:hAnsi="Verdana"/>
                <w:b/>
                <w:sz w:val="16"/>
                <w:lang w:val="de-CH"/>
              </w:rPr>
            </w:pPr>
            <w:r w:rsidRPr="001D51C6">
              <w:rPr>
                <w:rFonts w:ascii="Verdana" w:hAnsi="Verdana"/>
                <w:b/>
                <w:sz w:val="16"/>
                <w:lang w:val="de-CH"/>
              </w:rPr>
              <w:t>3. Führung, Verwaltung, Kontrolle</w:t>
            </w:r>
          </w:p>
        </w:tc>
        <w:tc>
          <w:tcPr>
            <w:tcW w:w="596" w:type="dxa"/>
          </w:tcPr>
          <w:p w14:paraId="71AAE95A" w14:textId="77777777" w:rsidR="002F537E" w:rsidRPr="007162E2" w:rsidRDefault="002F537E" w:rsidP="002F537E">
            <w:pPr>
              <w:pStyle w:val="BodyText2"/>
              <w:jc w:val="center"/>
              <w:rPr>
                <w:sz w:val="16"/>
                <w:lang w:val="en-US"/>
              </w:rPr>
            </w:pPr>
          </w:p>
        </w:tc>
        <w:tc>
          <w:tcPr>
            <w:tcW w:w="5074" w:type="dxa"/>
          </w:tcPr>
          <w:p w14:paraId="44C70ABF" w14:textId="77777777" w:rsidR="002F537E" w:rsidRDefault="002F537E" w:rsidP="002F537E">
            <w:pPr>
              <w:spacing w:line="312" w:lineRule="auto"/>
              <w:jc w:val="center"/>
              <w:rPr>
                <w:rFonts w:ascii="Verdana" w:hAnsi="Verdana"/>
                <w:b/>
                <w:sz w:val="16"/>
                <w:lang w:val="en-US"/>
              </w:rPr>
            </w:pPr>
          </w:p>
          <w:p w14:paraId="22F40E57" w14:textId="77777777" w:rsidR="002F537E" w:rsidRPr="00A1421C" w:rsidRDefault="002F537E" w:rsidP="002F537E">
            <w:pPr>
              <w:spacing w:line="312" w:lineRule="auto"/>
              <w:jc w:val="center"/>
              <w:rPr>
                <w:rFonts w:ascii="Verdana" w:hAnsi="Verdana"/>
                <w:b/>
                <w:sz w:val="16"/>
                <w:lang w:val="en-US"/>
              </w:rPr>
            </w:pPr>
            <w:r w:rsidRPr="00A1421C">
              <w:rPr>
                <w:rFonts w:ascii="Verdana" w:hAnsi="Verdana"/>
                <w:b/>
                <w:sz w:val="16"/>
                <w:lang w:val="en-US"/>
              </w:rPr>
              <w:t xml:space="preserve">3. </w:t>
            </w:r>
            <w:r w:rsidRPr="00AC3A88">
              <w:rPr>
                <w:rFonts w:ascii="Verdana" w:hAnsi="Verdana"/>
                <w:b/>
                <w:sz w:val="16"/>
                <w:lang w:val="de-CH"/>
              </w:rPr>
              <w:t xml:space="preserve">Management, </w:t>
            </w:r>
            <w:proofErr w:type="spellStart"/>
            <w:r w:rsidRPr="00AC3A88">
              <w:rPr>
                <w:rFonts w:ascii="Verdana" w:hAnsi="Verdana"/>
                <w:b/>
                <w:sz w:val="16"/>
                <w:lang w:val="de-CH"/>
              </w:rPr>
              <w:t>administration</w:t>
            </w:r>
            <w:proofErr w:type="spellEnd"/>
            <w:r w:rsidRPr="00AC3A88">
              <w:rPr>
                <w:rFonts w:ascii="Verdana" w:hAnsi="Verdana"/>
                <w:b/>
                <w:sz w:val="16"/>
                <w:lang w:val="de-CH"/>
              </w:rPr>
              <w:t xml:space="preserve"> and </w:t>
            </w:r>
            <w:proofErr w:type="spellStart"/>
            <w:r w:rsidRPr="00AC3A88">
              <w:rPr>
                <w:rFonts w:ascii="Verdana" w:hAnsi="Verdana"/>
                <w:b/>
                <w:sz w:val="16"/>
                <w:lang w:val="de-CH"/>
              </w:rPr>
              <w:t>control</w:t>
            </w:r>
            <w:proofErr w:type="spellEnd"/>
          </w:p>
          <w:p w14:paraId="07D6E7FD" w14:textId="77777777" w:rsidR="002F537E" w:rsidRPr="00A1421C" w:rsidRDefault="002F537E" w:rsidP="002F537E">
            <w:pPr>
              <w:jc w:val="center"/>
              <w:rPr>
                <w:rFonts w:ascii="Verdana" w:hAnsi="Verdana"/>
                <w:b/>
                <w:sz w:val="16"/>
                <w:lang w:val="en-US"/>
              </w:rPr>
            </w:pPr>
          </w:p>
        </w:tc>
      </w:tr>
      <w:tr w:rsidR="002F537E" w:rsidRPr="00A1421C" w14:paraId="0E908DE8" w14:textId="77777777" w:rsidTr="00846CDA">
        <w:tc>
          <w:tcPr>
            <w:tcW w:w="4962" w:type="dxa"/>
          </w:tcPr>
          <w:p w14:paraId="2BBF30DC" w14:textId="77777777" w:rsidR="002F537E" w:rsidRPr="00F43E2D" w:rsidRDefault="002F537E" w:rsidP="002F537E">
            <w:pPr>
              <w:jc w:val="center"/>
              <w:rPr>
                <w:rFonts w:ascii="Verdana" w:hAnsi="Verdana"/>
                <w:b/>
                <w:sz w:val="16"/>
                <w:lang w:val="en-US"/>
              </w:rPr>
            </w:pPr>
          </w:p>
          <w:p w14:paraId="60C22B95" w14:textId="1B06E852" w:rsidR="002F537E" w:rsidRPr="00F43E2D" w:rsidRDefault="002F537E" w:rsidP="002F537E">
            <w:pPr>
              <w:jc w:val="center"/>
              <w:rPr>
                <w:rFonts w:ascii="Verdana" w:hAnsi="Verdana"/>
                <w:b/>
                <w:sz w:val="16"/>
                <w:lang w:val="en-US"/>
              </w:rPr>
            </w:pPr>
            <w:r w:rsidRPr="00F43E2D">
              <w:rPr>
                <w:rFonts w:ascii="Verdana" w:hAnsi="Verdana"/>
                <w:b/>
                <w:sz w:val="16"/>
                <w:lang w:val="en-US"/>
              </w:rPr>
              <w:t xml:space="preserve">Art. </w:t>
            </w:r>
            <w:r>
              <w:rPr>
                <w:rFonts w:ascii="Verdana" w:hAnsi="Verdana"/>
                <w:b/>
                <w:sz w:val="16"/>
                <w:lang w:val="en-US"/>
              </w:rPr>
              <w:t>10</w:t>
            </w:r>
          </w:p>
          <w:p w14:paraId="140ECDCC" w14:textId="77777777" w:rsidR="002F537E" w:rsidRPr="00F43E2D" w:rsidRDefault="002F537E" w:rsidP="002F537E">
            <w:pPr>
              <w:jc w:val="center"/>
              <w:rPr>
                <w:rFonts w:ascii="Verdana" w:hAnsi="Verdana"/>
                <w:b/>
                <w:sz w:val="16"/>
                <w:lang w:val="en-US"/>
              </w:rPr>
            </w:pPr>
            <w:proofErr w:type="spellStart"/>
            <w:r w:rsidRPr="00F43E2D">
              <w:rPr>
                <w:rFonts w:ascii="Verdana" w:hAnsi="Verdana"/>
                <w:b/>
                <w:sz w:val="16"/>
                <w:lang w:val="en-US"/>
              </w:rPr>
              <w:t>Gesellschaftsorgane</w:t>
            </w:r>
            <w:proofErr w:type="spellEnd"/>
          </w:p>
          <w:p w14:paraId="16F9B659" w14:textId="77777777" w:rsidR="002F537E" w:rsidRPr="00F43E2D" w:rsidRDefault="002F537E" w:rsidP="002F537E">
            <w:pPr>
              <w:jc w:val="center"/>
              <w:rPr>
                <w:sz w:val="16"/>
                <w:lang w:val="en-US"/>
              </w:rPr>
            </w:pPr>
          </w:p>
        </w:tc>
        <w:tc>
          <w:tcPr>
            <w:tcW w:w="596" w:type="dxa"/>
          </w:tcPr>
          <w:p w14:paraId="04D52065" w14:textId="77777777" w:rsidR="002F537E" w:rsidRPr="007162E2" w:rsidRDefault="002F537E" w:rsidP="002F537E">
            <w:pPr>
              <w:pStyle w:val="BodyText2"/>
              <w:jc w:val="center"/>
              <w:rPr>
                <w:sz w:val="16"/>
                <w:lang w:val="en-US"/>
              </w:rPr>
            </w:pPr>
          </w:p>
        </w:tc>
        <w:tc>
          <w:tcPr>
            <w:tcW w:w="5074" w:type="dxa"/>
          </w:tcPr>
          <w:p w14:paraId="7F486EAC" w14:textId="77777777" w:rsidR="002F537E" w:rsidRPr="00A1421C" w:rsidRDefault="002F537E" w:rsidP="002F537E">
            <w:pPr>
              <w:jc w:val="center"/>
              <w:rPr>
                <w:rFonts w:ascii="Verdana" w:hAnsi="Verdana"/>
                <w:b/>
                <w:sz w:val="16"/>
                <w:lang w:val="en-US"/>
              </w:rPr>
            </w:pPr>
          </w:p>
          <w:p w14:paraId="18CAAE3A" w14:textId="6508583C" w:rsidR="002F537E" w:rsidRPr="00A1421C" w:rsidRDefault="002F537E" w:rsidP="002F537E">
            <w:pPr>
              <w:jc w:val="center"/>
              <w:rPr>
                <w:rFonts w:ascii="Verdana" w:hAnsi="Verdana"/>
                <w:b/>
                <w:sz w:val="16"/>
                <w:lang w:val="en-US"/>
              </w:rPr>
            </w:pPr>
            <w:r w:rsidRPr="00A1421C">
              <w:rPr>
                <w:rFonts w:ascii="Verdana" w:hAnsi="Verdana"/>
                <w:b/>
                <w:sz w:val="16"/>
                <w:lang w:val="en-US"/>
              </w:rPr>
              <w:t xml:space="preserve">Art. </w:t>
            </w:r>
            <w:r>
              <w:rPr>
                <w:rFonts w:ascii="Verdana" w:hAnsi="Verdana"/>
                <w:b/>
                <w:sz w:val="16"/>
                <w:lang w:val="en-US"/>
              </w:rPr>
              <w:t>10</w:t>
            </w:r>
          </w:p>
          <w:p w14:paraId="328AB6B8" w14:textId="77777777" w:rsidR="002F537E" w:rsidRPr="00A1421C" w:rsidRDefault="002F537E" w:rsidP="002F537E">
            <w:pPr>
              <w:jc w:val="center"/>
              <w:rPr>
                <w:b/>
                <w:sz w:val="16"/>
                <w:lang w:val="en-US"/>
              </w:rPr>
            </w:pPr>
            <w:r w:rsidRPr="00AC3A88">
              <w:rPr>
                <w:rFonts w:ascii="Verdana" w:hAnsi="Verdana"/>
                <w:b/>
                <w:sz w:val="16"/>
                <w:lang w:val="en-US"/>
              </w:rPr>
              <w:t>Executive bodies of the Company</w:t>
            </w:r>
          </w:p>
        </w:tc>
      </w:tr>
      <w:tr w:rsidR="002F537E" w14:paraId="2E82587A" w14:textId="77777777" w:rsidTr="00846CDA">
        <w:tc>
          <w:tcPr>
            <w:tcW w:w="4962" w:type="dxa"/>
          </w:tcPr>
          <w:p w14:paraId="5AA0C7AF" w14:textId="77777777" w:rsidR="002F537E" w:rsidRPr="00BC36AF" w:rsidRDefault="002F537E" w:rsidP="002F537E">
            <w:pPr>
              <w:pStyle w:val="BodyText2"/>
              <w:spacing w:before="60"/>
              <w:rPr>
                <w:sz w:val="16"/>
              </w:rPr>
            </w:pPr>
            <w:r w:rsidRPr="00BC36AF">
              <w:rPr>
                <w:sz w:val="16"/>
              </w:rPr>
              <w:t>Die Organe der Gesellschaft sind:</w:t>
            </w:r>
          </w:p>
          <w:p w14:paraId="65196C93" w14:textId="77777777" w:rsidR="002F537E" w:rsidRDefault="002F537E" w:rsidP="002F537E">
            <w:pPr>
              <w:pStyle w:val="BodyText2"/>
              <w:rPr>
                <w:sz w:val="16"/>
              </w:rPr>
            </w:pPr>
          </w:p>
          <w:p w14:paraId="1B6721BD" w14:textId="77777777" w:rsidR="002F537E" w:rsidRDefault="002F537E" w:rsidP="002F537E">
            <w:pPr>
              <w:pStyle w:val="BodyText2"/>
              <w:numPr>
                <w:ilvl w:val="2"/>
                <w:numId w:val="1"/>
              </w:numPr>
              <w:tabs>
                <w:tab w:val="clear" w:pos="850"/>
              </w:tabs>
              <w:ind w:left="459" w:hanging="459"/>
              <w:rPr>
                <w:sz w:val="16"/>
              </w:rPr>
            </w:pPr>
            <w:r>
              <w:rPr>
                <w:sz w:val="16"/>
              </w:rPr>
              <w:t>die Generalversammlung</w:t>
            </w:r>
          </w:p>
          <w:p w14:paraId="5E861D6F" w14:textId="77777777" w:rsidR="002F537E" w:rsidRDefault="002F537E" w:rsidP="002F537E">
            <w:pPr>
              <w:pStyle w:val="BodyText2"/>
              <w:numPr>
                <w:ilvl w:val="2"/>
                <w:numId w:val="1"/>
              </w:numPr>
              <w:tabs>
                <w:tab w:val="clear" w:pos="850"/>
              </w:tabs>
              <w:ind w:left="459" w:hanging="459"/>
              <w:rPr>
                <w:sz w:val="16"/>
              </w:rPr>
            </w:pPr>
            <w:r>
              <w:rPr>
                <w:sz w:val="16"/>
              </w:rPr>
              <w:t>der Verwaltungsrat</w:t>
            </w:r>
          </w:p>
          <w:p w14:paraId="44C35484" w14:textId="77777777" w:rsidR="002F537E" w:rsidRDefault="002F537E" w:rsidP="002F537E">
            <w:pPr>
              <w:pStyle w:val="BodyText2"/>
              <w:numPr>
                <w:ilvl w:val="2"/>
                <w:numId w:val="1"/>
              </w:numPr>
              <w:tabs>
                <w:tab w:val="clear" w:pos="850"/>
              </w:tabs>
              <w:ind w:left="459" w:hanging="459"/>
              <w:rPr>
                <w:sz w:val="16"/>
              </w:rPr>
            </w:pPr>
            <w:r>
              <w:rPr>
                <w:sz w:val="16"/>
              </w:rPr>
              <w:t>die Revisionsstelle</w:t>
            </w:r>
          </w:p>
          <w:p w14:paraId="2980EE9F" w14:textId="77777777" w:rsidR="002F537E" w:rsidRDefault="002F537E" w:rsidP="002F537E">
            <w:pPr>
              <w:pStyle w:val="BodyText2"/>
              <w:ind w:left="459"/>
              <w:rPr>
                <w:sz w:val="16"/>
              </w:rPr>
            </w:pPr>
          </w:p>
          <w:p w14:paraId="5A2419FE" w14:textId="148E1323" w:rsidR="002F537E" w:rsidRPr="00BC36AF" w:rsidRDefault="002F537E" w:rsidP="002F537E">
            <w:pPr>
              <w:pStyle w:val="BodyText2"/>
              <w:ind w:left="459"/>
              <w:rPr>
                <w:sz w:val="16"/>
              </w:rPr>
            </w:pPr>
          </w:p>
        </w:tc>
        <w:tc>
          <w:tcPr>
            <w:tcW w:w="596" w:type="dxa"/>
          </w:tcPr>
          <w:p w14:paraId="360609FA" w14:textId="77777777" w:rsidR="002F537E" w:rsidRPr="00BC36AF" w:rsidRDefault="002F537E" w:rsidP="002F537E">
            <w:pPr>
              <w:pStyle w:val="BodyText2"/>
              <w:rPr>
                <w:sz w:val="16"/>
              </w:rPr>
            </w:pPr>
          </w:p>
        </w:tc>
        <w:tc>
          <w:tcPr>
            <w:tcW w:w="5074" w:type="dxa"/>
          </w:tcPr>
          <w:p w14:paraId="20B99A75" w14:textId="77777777" w:rsidR="002F537E" w:rsidRPr="00B129A2" w:rsidRDefault="002F537E" w:rsidP="002F537E">
            <w:pPr>
              <w:pStyle w:val="BodyText2"/>
              <w:spacing w:before="60"/>
              <w:rPr>
                <w:sz w:val="16"/>
                <w:lang w:val="en-US"/>
              </w:rPr>
            </w:pPr>
            <w:r w:rsidRPr="00B129A2">
              <w:rPr>
                <w:sz w:val="16"/>
                <w:lang w:val="en-US"/>
              </w:rPr>
              <w:t>The Company's executive bodies are:</w:t>
            </w:r>
          </w:p>
          <w:p w14:paraId="0B673DCB" w14:textId="77777777" w:rsidR="002F537E" w:rsidRDefault="002F537E" w:rsidP="002F537E">
            <w:pPr>
              <w:pStyle w:val="BodyText2"/>
              <w:rPr>
                <w:sz w:val="16"/>
                <w:lang w:val="en-GB"/>
              </w:rPr>
            </w:pPr>
          </w:p>
          <w:p w14:paraId="12BA4C92" w14:textId="77777777" w:rsidR="002F537E" w:rsidRPr="00AC3A88" w:rsidRDefault="002F537E" w:rsidP="00C825D6">
            <w:pPr>
              <w:pStyle w:val="BodyText2"/>
              <w:numPr>
                <w:ilvl w:val="2"/>
                <w:numId w:val="37"/>
              </w:numPr>
              <w:ind w:left="459" w:hanging="459"/>
              <w:rPr>
                <w:sz w:val="16"/>
              </w:rPr>
            </w:pPr>
            <w:proofErr w:type="spellStart"/>
            <w:r w:rsidRPr="00AC3A88">
              <w:rPr>
                <w:sz w:val="16"/>
              </w:rPr>
              <w:t>the</w:t>
            </w:r>
            <w:proofErr w:type="spellEnd"/>
            <w:r w:rsidRPr="00AC3A88">
              <w:rPr>
                <w:sz w:val="16"/>
              </w:rPr>
              <w:t xml:space="preserve"> General Meeting</w:t>
            </w:r>
          </w:p>
          <w:p w14:paraId="10183CE2" w14:textId="77777777" w:rsidR="002F537E" w:rsidRPr="00AC3A88" w:rsidRDefault="002F537E" w:rsidP="00C825D6">
            <w:pPr>
              <w:pStyle w:val="BodyText2"/>
              <w:numPr>
                <w:ilvl w:val="2"/>
                <w:numId w:val="37"/>
              </w:numPr>
              <w:ind w:left="459" w:hanging="459"/>
              <w:rPr>
                <w:sz w:val="16"/>
              </w:rPr>
            </w:pPr>
            <w:proofErr w:type="spellStart"/>
            <w:r w:rsidRPr="00AC3A88">
              <w:rPr>
                <w:sz w:val="16"/>
              </w:rPr>
              <w:t>the</w:t>
            </w:r>
            <w:proofErr w:type="spellEnd"/>
            <w:r w:rsidRPr="00AC3A88">
              <w:rPr>
                <w:sz w:val="16"/>
              </w:rPr>
              <w:t xml:space="preserve"> Board </w:t>
            </w:r>
            <w:proofErr w:type="spellStart"/>
            <w:r w:rsidRPr="00AC3A88">
              <w:rPr>
                <w:sz w:val="16"/>
              </w:rPr>
              <w:t>of</w:t>
            </w:r>
            <w:proofErr w:type="spellEnd"/>
            <w:r w:rsidRPr="00AC3A88">
              <w:rPr>
                <w:sz w:val="16"/>
              </w:rPr>
              <w:t xml:space="preserve"> </w:t>
            </w:r>
            <w:proofErr w:type="spellStart"/>
            <w:r w:rsidRPr="00AC3A88">
              <w:rPr>
                <w:sz w:val="16"/>
              </w:rPr>
              <w:t>Directors</w:t>
            </w:r>
            <w:proofErr w:type="spellEnd"/>
          </w:p>
          <w:p w14:paraId="0CE4544A" w14:textId="77777777" w:rsidR="002F537E" w:rsidRPr="00937FAC" w:rsidRDefault="002F537E" w:rsidP="00C825D6">
            <w:pPr>
              <w:pStyle w:val="BodyText2"/>
              <w:numPr>
                <w:ilvl w:val="2"/>
                <w:numId w:val="37"/>
              </w:numPr>
              <w:ind w:left="459" w:hanging="459"/>
              <w:rPr>
                <w:sz w:val="16"/>
                <w:lang w:val="en-GB"/>
              </w:rPr>
            </w:pPr>
            <w:proofErr w:type="spellStart"/>
            <w:r w:rsidRPr="00AC3A88">
              <w:rPr>
                <w:sz w:val="16"/>
              </w:rPr>
              <w:t>the</w:t>
            </w:r>
            <w:proofErr w:type="spellEnd"/>
            <w:r w:rsidRPr="00AC3A88">
              <w:rPr>
                <w:sz w:val="16"/>
              </w:rPr>
              <w:t xml:space="preserve"> </w:t>
            </w:r>
            <w:proofErr w:type="spellStart"/>
            <w:r w:rsidRPr="00AC3A88">
              <w:rPr>
                <w:sz w:val="16"/>
              </w:rPr>
              <w:t>Statutory</w:t>
            </w:r>
            <w:proofErr w:type="spellEnd"/>
            <w:r w:rsidRPr="00AC3A88">
              <w:rPr>
                <w:sz w:val="16"/>
              </w:rPr>
              <w:t xml:space="preserve"> Auditors</w:t>
            </w:r>
          </w:p>
        </w:tc>
      </w:tr>
      <w:tr w:rsidR="002F537E" w:rsidRPr="00F04927" w14:paraId="635F7FC6" w14:textId="77777777" w:rsidTr="00846CDA">
        <w:tc>
          <w:tcPr>
            <w:tcW w:w="4962" w:type="dxa"/>
          </w:tcPr>
          <w:p w14:paraId="5988FFA2" w14:textId="77777777" w:rsidR="002F537E" w:rsidRDefault="002F537E" w:rsidP="002F537E">
            <w:pPr>
              <w:spacing w:line="312" w:lineRule="auto"/>
              <w:rPr>
                <w:rFonts w:ascii="Verdana" w:hAnsi="Verdana"/>
                <w:b/>
                <w:sz w:val="16"/>
                <w:lang w:val="en-US"/>
              </w:rPr>
            </w:pPr>
          </w:p>
          <w:p w14:paraId="77C3D658" w14:textId="77777777" w:rsidR="002F537E" w:rsidRPr="00533681" w:rsidRDefault="002F537E" w:rsidP="002F537E">
            <w:pPr>
              <w:spacing w:line="312" w:lineRule="auto"/>
              <w:jc w:val="center"/>
              <w:rPr>
                <w:rFonts w:ascii="Verdana" w:hAnsi="Verdana"/>
                <w:b/>
                <w:sz w:val="16"/>
                <w:lang w:val="en-US"/>
              </w:rPr>
            </w:pPr>
            <w:r>
              <w:rPr>
                <w:rFonts w:ascii="Verdana" w:hAnsi="Verdana"/>
                <w:b/>
                <w:sz w:val="16"/>
                <w:lang w:val="en-US"/>
              </w:rPr>
              <w:lastRenderedPageBreak/>
              <w:t xml:space="preserve">A. </w:t>
            </w:r>
            <w:proofErr w:type="spellStart"/>
            <w:r>
              <w:rPr>
                <w:rFonts w:ascii="Verdana" w:hAnsi="Verdana"/>
                <w:b/>
                <w:sz w:val="16"/>
                <w:lang w:val="en-US"/>
              </w:rPr>
              <w:t>Generalversammlung</w:t>
            </w:r>
            <w:proofErr w:type="spellEnd"/>
          </w:p>
        </w:tc>
        <w:tc>
          <w:tcPr>
            <w:tcW w:w="596" w:type="dxa"/>
          </w:tcPr>
          <w:p w14:paraId="2F02EEC6" w14:textId="77777777" w:rsidR="002F537E" w:rsidRPr="002A2924" w:rsidRDefault="002F537E" w:rsidP="002F537E">
            <w:pPr>
              <w:jc w:val="center"/>
              <w:rPr>
                <w:rFonts w:ascii="Verdana" w:hAnsi="Verdana"/>
                <w:b/>
                <w:sz w:val="16"/>
                <w:lang w:val="en-US"/>
              </w:rPr>
            </w:pPr>
          </w:p>
        </w:tc>
        <w:tc>
          <w:tcPr>
            <w:tcW w:w="5074" w:type="dxa"/>
          </w:tcPr>
          <w:p w14:paraId="1E8EDEB3" w14:textId="77777777" w:rsidR="002F537E" w:rsidRDefault="002F537E" w:rsidP="002F537E">
            <w:pPr>
              <w:spacing w:line="312" w:lineRule="auto"/>
              <w:jc w:val="center"/>
              <w:rPr>
                <w:rFonts w:ascii="Verdana" w:hAnsi="Verdana"/>
                <w:b/>
                <w:sz w:val="16"/>
                <w:lang w:val="en-US"/>
              </w:rPr>
            </w:pPr>
          </w:p>
          <w:p w14:paraId="6A02386A" w14:textId="77777777" w:rsidR="002F537E" w:rsidRDefault="002F537E" w:rsidP="002F537E">
            <w:pPr>
              <w:spacing w:line="312" w:lineRule="auto"/>
              <w:jc w:val="center"/>
              <w:rPr>
                <w:rFonts w:ascii="Verdana" w:hAnsi="Verdana"/>
                <w:b/>
                <w:sz w:val="16"/>
                <w:lang w:val="en-US"/>
              </w:rPr>
            </w:pPr>
            <w:r>
              <w:rPr>
                <w:rFonts w:ascii="Verdana" w:hAnsi="Verdana"/>
                <w:b/>
                <w:sz w:val="16"/>
                <w:lang w:val="en-US"/>
              </w:rPr>
              <w:lastRenderedPageBreak/>
              <w:t xml:space="preserve">A. </w:t>
            </w:r>
            <w:r w:rsidRPr="002A2924">
              <w:rPr>
                <w:rFonts w:ascii="Verdana" w:hAnsi="Verdana"/>
                <w:b/>
                <w:sz w:val="16"/>
                <w:lang w:val="en-US"/>
              </w:rPr>
              <w:t>The General Meeting</w:t>
            </w:r>
          </w:p>
          <w:p w14:paraId="723B2DF8" w14:textId="77777777" w:rsidR="002F537E" w:rsidRPr="002A2924" w:rsidRDefault="002F537E" w:rsidP="002F537E">
            <w:pPr>
              <w:spacing w:line="312" w:lineRule="auto"/>
              <w:jc w:val="center"/>
              <w:rPr>
                <w:rFonts w:ascii="Verdana" w:hAnsi="Verdana"/>
                <w:b/>
                <w:sz w:val="16"/>
                <w:lang w:val="en-US"/>
              </w:rPr>
            </w:pPr>
          </w:p>
        </w:tc>
      </w:tr>
      <w:tr w:rsidR="002F537E" w:rsidRPr="00F04927" w14:paraId="5F23F1B8" w14:textId="77777777" w:rsidTr="00846CDA">
        <w:tc>
          <w:tcPr>
            <w:tcW w:w="4962" w:type="dxa"/>
          </w:tcPr>
          <w:p w14:paraId="61B5B25C" w14:textId="77777777" w:rsidR="002F537E" w:rsidRPr="00937FAC" w:rsidRDefault="002F537E" w:rsidP="002F537E">
            <w:pPr>
              <w:jc w:val="center"/>
              <w:rPr>
                <w:rFonts w:ascii="Verdana" w:hAnsi="Verdana"/>
                <w:b/>
                <w:sz w:val="16"/>
                <w:lang w:val="de-CH"/>
              </w:rPr>
            </w:pPr>
          </w:p>
          <w:p w14:paraId="12884EB0" w14:textId="0C2DD303" w:rsidR="002F537E" w:rsidRDefault="002F537E" w:rsidP="002F537E">
            <w:pPr>
              <w:jc w:val="center"/>
              <w:rPr>
                <w:rFonts w:ascii="Verdana" w:hAnsi="Verdana"/>
                <w:b/>
                <w:sz w:val="16"/>
                <w:lang w:val="de-CH"/>
              </w:rPr>
            </w:pPr>
            <w:r>
              <w:rPr>
                <w:rFonts w:ascii="Verdana" w:hAnsi="Verdana"/>
                <w:b/>
                <w:sz w:val="16"/>
                <w:lang w:val="de-CH"/>
              </w:rPr>
              <w:t>Art. 11</w:t>
            </w:r>
          </w:p>
          <w:p w14:paraId="123F728F" w14:textId="77777777" w:rsidR="002F537E" w:rsidRPr="00937FAC" w:rsidRDefault="002F537E" w:rsidP="002F537E">
            <w:pPr>
              <w:jc w:val="center"/>
              <w:rPr>
                <w:rFonts w:ascii="Verdana" w:hAnsi="Verdana"/>
                <w:b/>
                <w:sz w:val="16"/>
                <w:lang w:val="de-CH"/>
              </w:rPr>
            </w:pPr>
            <w:r>
              <w:rPr>
                <w:rFonts w:ascii="Verdana" w:hAnsi="Verdana"/>
                <w:b/>
                <w:sz w:val="16"/>
                <w:lang w:val="de-CH"/>
              </w:rPr>
              <w:t>Befugnisse der Generalversammlung</w:t>
            </w:r>
          </w:p>
          <w:p w14:paraId="271A8967" w14:textId="77777777" w:rsidR="002F537E" w:rsidRPr="00937FAC" w:rsidRDefault="002F537E" w:rsidP="002F537E">
            <w:pPr>
              <w:jc w:val="center"/>
              <w:rPr>
                <w:rFonts w:ascii="Verdana" w:hAnsi="Verdana"/>
                <w:b/>
                <w:sz w:val="16"/>
                <w:lang w:val="de-CH"/>
              </w:rPr>
            </w:pPr>
          </w:p>
        </w:tc>
        <w:tc>
          <w:tcPr>
            <w:tcW w:w="596" w:type="dxa"/>
          </w:tcPr>
          <w:p w14:paraId="401609C3" w14:textId="77777777" w:rsidR="002F537E" w:rsidRPr="00F04927" w:rsidRDefault="002F537E" w:rsidP="002F537E">
            <w:pPr>
              <w:jc w:val="center"/>
              <w:rPr>
                <w:rFonts w:ascii="Verdana" w:hAnsi="Verdana"/>
                <w:sz w:val="16"/>
                <w:lang w:val="en-US"/>
              </w:rPr>
            </w:pPr>
          </w:p>
        </w:tc>
        <w:tc>
          <w:tcPr>
            <w:tcW w:w="5074" w:type="dxa"/>
          </w:tcPr>
          <w:p w14:paraId="28815369" w14:textId="77777777" w:rsidR="002F537E" w:rsidRPr="00937FAC" w:rsidRDefault="002F537E" w:rsidP="002F537E">
            <w:pPr>
              <w:jc w:val="center"/>
              <w:rPr>
                <w:rFonts w:ascii="Verdana" w:hAnsi="Verdana"/>
                <w:b/>
                <w:sz w:val="16"/>
                <w:lang w:val="en-GB"/>
              </w:rPr>
            </w:pPr>
          </w:p>
          <w:p w14:paraId="0469A742" w14:textId="5504CC11" w:rsidR="002F537E" w:rsidRPr="00BB7FA4" w:rsidRDefault="002F537E" w:rsidP="002F537E">
            <w:pPr>
              <w:jc w:val="center"/>
              <w:rPr>
                <w:rFonts w:ascii="Verdana" w:hAnsi="Verdana"/>
                <w:b/>
                <w:sz w:val="16"/>
                <w:lang w:val="en-US"/>
              </w:rPr>
            </w:pPr>
            <w:r w:rsidRPr="00BB7FA4">
              <w:rPr>
                <w:rFonts w:ascii="Verdana" w:hAnsi="Verdana"/>
                <w:b/>
                <w:sz w:val="16"/>
                <w:lang w:val="en-US"/>
              </w:rPr>
              <w:t>Art. 11</w:t>
            </w:r>
          </w:p>
          <w:p w14:paraId="644246B9" w14:textId="77777777" w:rsidR="002F537E" w:rsidRPr="00BB7FA4" w:rsidRDefault="002F537E" w:rsidP="002F537E">
            <w:pPr>
              <w:jc w:val="center"/>
              <w:rPr>
                <w:rFonts w:ascii="Verdana" w:hAnsi="Verdana"/>
                <w:b/>
                <w:sz w:val="16"/>
                <w:lang w:val="en-US"/>
              </w:rPr>
            </w:pPr>
            <w:r w:rsidRPr="00BB7FA4">
              <w:rPr>
                <w:rFonts w:ascii="Verdana" w:hAnsi="Verdana"/>
                <w:b/>
                <w:sz w:val="16"/>
                <w:lang w:val="en-US"/>
              </w:rPr>
              <w:t>Powers of the General Meeting</w:t>
            </w:r>
          </w:p>
          <w:p w14:paraId="5DA00670" w14:textId="77777777" w:rsidR="002F537E" w:rsidRPr="00937FAC" w:rsidRDefault="002F537E" w:rsidP="002F537E">
            <w:pPr>
              <w:jc w:val="center"/>
              <w:rPr>
                <w:rFonts w:ascii="Verdana" w:hAnsi="Verdana"/>
                <w:b/>
                <w:sz w:val="16"/>
                <w:lang w:val="en-GB"/>
              </w:rPr>
            </w:pPr>
          </w:p>
        </w:tc>
      </w:tr>
      <w:tr w:rsidR="002F537E" w14:paraId="600438A0" w14:textId="77777777" w:rsidTr="00846CDA">
        <w:trPr>
          <w:trHeight w:val="254"/>
        </w:trPr>
        <w:tc>
          <w:tcPr>
            <w:tcW w:w="4962" w:type="dxa"/>
          </w:tcPr>
          <w:p w14:paraId="00FD036D" w14:textId="4A5984BD" w:rsidR="002F537E" w:rsidRPr="00FE62CF" w:rsidRDefault="002F537E" w:rsidP="002F537E">
            <w:pPr>
              <w:pStyle w:val="BodyText2"/>
              <w:spacing w:before="60"/>
              <w:rPr>
                <w:sz w:val="16"/>
              </w:rPr>
            </w:pPr>
            <w:r w:rsidRPr="00FE62CF">
              <w:rPr>
                <w:sz w:val="16"/>
              </w:rPr>
              <w:t xml:space="preserve">Der Generalversammlung stehen </w:t>
            </w:r>
            <w:r w:rsidR="00AB7EFA">
              <w:rPr>
                <w:sz w:val="16"/>
              </w:rPr>
              <w:t xml:space="preserve">insbesondere </w:t>
            </w:r>
            <w:r w:rsidRPr="00FE62CF">
              <w:rPr>
                <w:sz w:val="16"/>
              </w:rPr>
              <w:t xml:space="preserve">folgende unübertragbare Befugnisse zu: </w:t>
            </w:r>
          </w:p>
          <w:p w14:paraId="4900EEEE" w14:textId="768781BA" w:rsidR="002F537E" w:rsidRPr="00FE62CF" w:rsidRDefault="002F537E" w:rsidP="002F537E">
            <w:pPr>
              <w:pStyle w:val="Heading4"/>
              <w:keepNext w:val="0"/>
              <w:keepLines w:val="0"/>
              <w:numPr>
                <w:ilvl w:val="3"/>
                <w:numId w:val="8"/>
              </w:numPr>
              <w:tabs>
                <w:tab w:val="clear" w:pos="850"/>
              </w:tabs>
              <w:spacing w:before="60" w:after="0" w:line="240" w:lineRule="auto"/>
              <w:ind w:left="499" w:hanging="499"/>
              <w:jc w:val="both"/>
              <w:rPr>
                <w:rFonts w:ascii="Verdana" w:hAnsi="Verdana"/>
                <w:b w:val="0"/>
                <w:kern w:val="0"/>
                <w:sz w:val="16"/>
              </w:rPr>
            </w:pPr>
            <w:r w:rsidRPr="00FE62CF">
              <w:rPr>
                <w:rFonts w:ascii="Verdana" w:hAnsi="Verdana"/>
                <w:b w:val="0"/>
                <w:kern w:val="0"/>
                <w:sz w:val="16"/>
              </w:rPr>
              <w:t xml:space="preserve">Festsetzung und Änderung der Statuten. </w:t>
            </w:r>
          </w:p>
        </w:tc>
        <w:tc>
          <w:tcPr>
            <w:tcW w:w="596" w:type="dxa"/>
            <w:vMerge w:val="restart"/>
          </w:tcPr>
          <w:p w14:paraId="43DB00AB" w14:textId="77777777" w:rsidR="002F537E" w:rsidRDefault="002F537E" w:rsidP="002F537E">
            <w:pPr>
              <w:pStyle w:val="BodyText2"/>
              <w:rPr>
                <w:sz w:val="16"/>
              </w:rPr>
            </w:pPr>
          </w:p>
        </w:tc>
        <w:tc>
          <w:tcPr>
            <w:tcW w:w="5074" w:type="dxa"/>
          </w:tcPr>
          <w:p w14:paraId="43B582A7" w14:textId="56B33024" w:rsidR="002F537E" w:rsidRPr="00B129A2" w:rsidRDefault="002F537E" w:rsidP="002F537E">
            <w:pPr>
              <w:pStyle w:val="BodyText2"/>
              <w:spacing w:before="60"/>
              <w:rPr>
                <w:sz w:val="16"/>
                <w:lang w:val="en-US"/>
              </w:rPr>
            </w:pPr>
            <w:r w:rsidRPr="00B129A2">
              <w:rPr>
                <w:sz w:val="16"/>
                <w:lang w:val="en-US"/>
              </w:rPr>
              <w:t xml:space="preserve">The general meeting ("General Meeting") has </w:t>
            </w:r>
            <w:proofErr w:type="gramStart"/>
            <w:r w:rsidR="00AB7EFA">
              <w:rPr>
                <w:sz w:val="16"/>
                <w:lang w:val="en-US"/>
              </w:rPr>
              <w:t xml:space="preserve">in particular </w:t>
            </w:r>
            <w:r w:rsidRPr="00B129A2">
              <w:rPr>
                <w:sz w:val="16"/>
                <w:lang w:val="en-US"/>
              </w:rPr>
              <w:t>the</w:t>
            </w:r>
            <w:proofErr w:type="gramEnd"/>
            <w:r w:rsidRPr="00B129A2">
              <w:rPr>
                <w:sz w:val="16"/>
                <w:lang w:val="en-US"/>
              </w:rPr>
              <w:t xml:space="preserve"> following inalienable powers: </w:t>
            </w:r>
          </w:p>
          <w:p w14:paraId="3AD6DDB5" w14:textId="68B3AD87" w:rsidR="002F537E" w:rsidRPr="00946A46" w:rsidRDefault="002F537E" w:rsidP="00C825D6">
            <w:pPr>
              <w:pStyle w:val="Heading4"/>
              <w:keepNext w:val="0"/>
              <w:keepLines w:val="0"/>
              <w:numPr>
                <w:ilvl w:val="3"/>
                <w:numId w:val="38"/>
              </w:numPr>
              <w:tabs>
                <w:tab w:val="clear" w:pos="850"/>
              </w:tabs>
              <w:spacing w:before="60" w:after="0" w:line="240" w:lineRule="auto"/>
              <w:ind w:left="499" w:hanging="499"/>
              <w:jc w:val="both"/>
              <w:rPr>
                <w:rFonts w:ascii="Verdana" w:hAnsi="Verdana"/>
                <w:b w:val="0"/>
                <w:kern w:val="0"/>
                <w:sz w:val="16"/>
                <w:lang w:val="en-US"/>
              </w:rPr>
            </w:pPr>
            <w:r w:rsidRPr="00D95779">
              <w:rPr>
                <w:rFonts w:ascii="Verdana" w:hAnsi="Verdana"/>
                <w:b w:val="0"/>
                <w:kern w:val="0"/>
                <w:sz w:val="16"/>
                <w:lang w:val="en-US"/>
              </w:rPr>
              <w:t>Devising and amending the Articles of Association.</w:t>
            </w:r>
          </w:p>
        </w:tc>
      </w:tr>
      <w:tr w:rsidR="002F537E" w14:paraId="68884448" w14:textId="77777777" w:rsidTr="00846CDA">
        <w:trPr>
          <w:trHeight w:val="249"/>
        </w:trPr>
        <w:tc>
          <w:tcPr>
            <w:tcW w:w="4962" w:type="dxa"/>
          </w:tcPr>
          <w:p w14:paraId="7DA6E6F7" w14:textId="683C22EF" w:rsidR="002F537E" w:rsidRPr="00FE62CF" w:rsidRDefault="002F537E" w:rsidP="002F537E">
            <w:pPr>
              <w:pStyle w:val="Heading4"/>
              <w:keepNext w:val="0"/>
              <w:keepLines w:val="0"/>
              <w:numPr>
                <w:ilvl w:val="3"/>
                <w:numId w:val="8"/>
              </w:numPr>
              <w:tabs>
                <w:tab w:val="clear" w:pos="850"/>
              </w:tabs>
              <w:spacing w:before="60" w:after="0" w:line="240" w:lineRule="auto"/>
              <w:ind w:left="499" w:hanging="499"/>
              <w:jc w:val="both"/>
              <w:rPr>
                <w:rFonts w:ascii="Verdana" w:hAnsi="Verdana"/>
                <w:b w:val="0"/>
                <w:kern w:val="0"/>
                <w:sz w:val="16"/>
              </w:rPr>
            </w:pPr>
            <w:r w:rsidRPr="00FE62CF">
              <w:rPr>
                <w:rFonts w:ascii="Verdana" w:hAnsi="Verdana"/>
                <w:b w:val="0"/>
                <w:sz w:val="16"/>
              </w:rPr>
              <w:t>Genehmigung des Lageberichtes, der Konzernrechnung und der Jahresrechnung.</w:t>
            </w:r>
          </w:p>
        </w:tc>
        <w:tc>
          <w:tcPr>
            <w:tcW w:w="596" w:type="dxa"/>
            <w:vMerge/>
          </w:tcPr>
          <w:p w14:paraId="06F78307" w14:textId="77777777" w:rsidR="002F537E" w:rsidRDefault="002F537E" w:rsidP="002F537E">
            <w:pPr>
              <w:pStyle w:val="BodyText2"/>
              <w:ind w:left="499" w:hanging="499"/>
              <w:rPr>
                <w:sz w:val="16"/>
              </w:rPr>
            </w:pPr>
          </w:p>
        </w:tc>
        <w:tc>
          <w:tcPr>
            <w:tcW w:w="5074" w:type="dxa"/>
          </w:tcPr>
          <w:p w14:paraId="606A493B" w14:textId="2B52DA7C" w:rsidR="002F537E" w:rsidRPr="00B20523" w:rsidRDefault="002F537E" w:rsidP="00C825D6">
            <w:pPr>
              <w:pStyle w:val="Heading4"/>
              <w:keepNext w:val="0"/>
              <w:keepLines w:val="0"/>
              <w:numPr>
                <w:ilvl w:val="3"/>
                <w:numId w:val="58"/>
              </w:numPr>
              <w:spacing w:before="60" w:after="0" w:line="240" w:lineRule="auto"/>
              <w:ind w:left="499" w:hanging="499"/>
              <w:jc w:val="both"/>
              <w:rPr>
                <w:rFonts w:ascii="Verdana" w:hAnsi="Verdana"/>
                <w:b w:val="0"/>
                <w:kern w:val="0"/>
                <w:sz w:val="16"/>
                <w:lang w:val="en-US"/>
              </w:rPr>
            </w:pPr>
            <w:r w:rsidRPr="00B20523">
              <w:rPr>
                <w:rFonts w:ascii="Verdana" w:hAnsi="Verdana"/>
                <w:b w:val="0"/>
                <w:kern w:val="0"/>
                <w:sz w:val="16"/>
                <w:lang w:val="en-US"/>
              </w:rPr>
              <w:t>Approving the management report, the consolidated financial statements and the Company financial statements.</w:t>
            </w:r>
          </w:p>
        </w:tc>
      </w:tr>
      <w:tr w:rsidR="002F537E" w14:paraId="189C19DA" w14:textId="77777777" w:rsidTr="00846CDA">
        <w:trPr>
          <w:trHeight w:val="249"/>
        </w:trPr>
        <w:tc>
          <w:tcPr>
            <w:tcW w:w="4962" w:type="dxa"/>
          </w:tcPr>
          <w:p w14:paraId="4EB074EB" w14:textId="06B6358C" w:rsidR="002F537E" w:rsidRPr="00FE62CF" w:rsidRDefault="002F537E" w:rsidP="002F537E">
            <w:pPr>
              <w:pStyle w:val="Heading4"/>
              <w:keepNext w:val="0"/>
              <w:keepLines w:val="0"/>
              <w:numPr>
                <w:ilvl w:val="3"/>
                <w:numId w:val="8"/>
              </w:numPr>
              <w:tabs>
                <w:tab w:val="clear" w:pos="850"/>
              </w:tabs>
              <w:spacing w:before="60" w:after="0" w:line="240" w:lineRule="auto"/>
              <w:ind w:left="499" w:hanging="499"/>
              <w:jc w:val="both"/>
              <w:rPr>
                <w:rFonts w:ascii="Verdana" w:hAnsi="Verdana"/>
                <w:b w:val="0"/>
                <w:kern w:val="0"/>
                <w:sz w:val="16"/>
              </w:rPr>
            </w:pPr>
            <w:r w:rsidRPr="00FE62CF">
              <w:rPr>
                <w:rFonts w:ascii="Verdana" w:hAnsi="Verdana"/>
                <w:b w:val="0"/>
                <w:sz w:val="16"/>
              </w:rPr>
              <w:t>Beschlussfassung über die Verwendung des Bilanzgewinnes und Festsetzung der Dividende.</w:t>
            </w:r>
          </w:p>
        </w:tc>
        <w:tc>
          <w:tcPr>
            <w:tcW w:w="596" w:type="dxa"/>
            <w:vMerge/>
          </w:tcPr>
          <w:p w14:paraId="62823163" w14:textId="77777777" w:rsidR="002F537E" w:rsidRDefault="002F537E" w:rsidP="002F537E">
            <w:pPr>
              <w:pStyle w:val="BodyText2"/>
              <w:ind w:left="499" w:hanging="499"/>
              <w:rPr>
                <w:sz w:val="16"/>
              </w:rPr>
            </w:pPr>
          </w:p>
        </w:tc>
        <w:tc>
          <w:tcPr>
            <w:tcW w:w="5074" w:type="dxa"/>
          </w:tcPr>
          <w:p w14:paraId="37AD90E3" w14:textId="059916BA" w:rsidR="002F537E" w:rsidRPr="00606710" w:rsidRDefault="002F537E" w:rsidP="00C825D6">
            <w:pPr>
              <w:pStyle w:val="Heading4"/>
              <w:keepNext w:val="0"/>
              <w:keepLines w:val="0"/>
              <w:numPr>
                <w:ilvl w:val="3"/>
                <w:numId w:val="59"/>
              </w:numPr>
              <w:spacing w:before="60" w:after="0" w:line="240" w:lineRule="auto"/>
              <w:ind w:left="499" w:hanging="499"/>
              <w:jc w:val="both"/>
              <w:rPr>
                <w:rFonts w:ascii="Verdana" w:hAnsi="Verdana"/>
                <w:b w:val="0"/>
                <w:kern w:val="0"/>
                <w:sz w:val="16"/>
                <w:lang w:val="en-US"/>
              </w:rPr>
            </w:pPr>
            <w:r w:rsidRPr="00606710">
              <w:rPr>
                <w:rFonts w:ascii="Verdana" w:hAnsi="Verdana"/>
                <w:b w:val="0"/>
                <w:kern w:val="0"/>
                <w:sz w:val="16"/>
                <w:lang w:val="en-US"/>
              </w:rPr>
              <w:t>Deciding on the appropriation of the profit available for distribution and determining the dividend.</w:t>
            </w:r>
          </w:p>
        </w:tc>
      </w:tr>
      <w:tr w:rsidR="002F537E" w14:paraId="3DB1D2B8" w14:textId="77777777" w:rsidTr="00846CDA">
        <w:trPr>
          <w:trHeight w:val="249"/>
        </w:trPr>
        <w:tc>
          <w:tcPr>
            <w:tcW w:w="4962" w:type="dxa"/>
          </w:tcPr>
          <w:p w14:paraId="37987B51" w14:textId="78DAC333" w:rsidR="002F537E" w:rsidRPr="00FE62CF" w:rsidRDefault="002F537E" w:rsidP="002F537E">
            <w:pPr>
              <w:pStyle w:val="Heading4"/>
              <w:keepNext w:val="0"/>
              <w:keepLines w:val="0"/>
              <w:numPr>
                <w:ilvl w:val="3"/>
                <w:numId w:val="8"/>
              </w:numPr>
              <w:tabs>
                <w:tab w:val="clear" w:pos="850"/>
              </w:tabs>
              <w:spacing w:before="60" w:after="0" w:line="240" w:lineRule="auto"/>
              <w:ind w:left="499" w:hanging="499"/>
              <w:jc w:val="both"/>
              <w:rPr>
                <w:rFonts w:ascii="Verdana" w:hAnsi="Verdana"/>
                <w:b w:val="0"/>
                <w:kern w:val="0"/>
                <w:sz w:val="16"/>
              </w:rPr>
            </w:pPr>
            <w:r w:rsidRPr="00FE62CF">
              <w:rPr>
                <w:rFonts w:ascii="Verdana" w:hAnsi="Verdana"/>
                <w:b w:val="0"/>
                <w:sz w:val="16"/>
              </w:rPr>
              <w:t>Entlastung der Mitglieder des Verwaltungsrates und der Geschäftsleitung.</w:t>
            </w:r>
          </w:p>
        </w:tc>
        <w:tc>
          <w:tcPr>
            <w:tcW w:w="596" w:type="dxa"/>
            <w:vMerge/>
          </w:tcPr>
          <w:p w14:paraId="6FBF91F6" w14:textId="77777777" w:rsidR="002F537E" w:rsidRDefault="002F537E" w:rsidP="002F537E">
            <w:pPr>
              <w:pStyle w:val="BodyText2"/>
              <w:ind w:left="499" w:hanging="499"/>
              <w:rPr>
                <w:sz w:val="16"/>
              </w:rPr>
            </w:pPr>
          </w:p>
        </w:tc>
        <w:tc>
          <w:tcPr>
            <w:tcW w:w="5074" w:type="dxa"/>
          </w:tcPr>
          <w:p w14:paraId="234F8BC5" w14:textId="6EA3BEA5" w:rsidR="002F537E" w:rsidRPr="0070540C" w:rsidRDefault="002F537E" w:rsidP="00C825D6">
            <w:pPr>
              <w:pStyle w:val="Heading4"/>
              <w:keepNext w:val="0"/>
              <w:keepLines w:val="0"/>
              <w:numPr>
                <w:ilvl w:val="3"/>
                <w:numId w:val="60"/>
              </w:numPr>
              <w:spacing w:before="60" w:after="0" w:line="240" w:lineRule="auto"/>
              <w:ind w:left="499" w:hanging="499"/>
              <w:jc w:val="both"/>
              <w:rPr>
                <w:rFonts w:ascii="Verdana" w:hAnsi="Verdana"/>
                <w:b w:val="0"/>
                <w:kern w:val="0"/>
                <w:sz w:val="16"/>
                <w:lang w:val="en-US"/>
              </w:rPr>
            </w:pPr>
            <w:r w:rsidRPr="0070540C">
              <w:rPr>
                <w:rFonts w:ascii="Verdana" w:hAnsi="Verdana"/>
                <w:b w:val="0"/>
                <w:kern w:val="0"/>
                <w:sz w:val="16"/>
                <w:lang w:val="en-US"/>
              </w:rPr>
              <w:t>Discharging the members of the Board of Directors and the Group Executive Board from their responsibility for the conduct of business in the previous financial year.</w:t>
            </w:r>
          </w:p>
        </w:tc>
      </w:tr>
      <w:tr w:rsidR="002F537E" w14:paraId="46037C0A" w14:textId="77777777" w:rsidTr="00846CDA">
        <w:trPr>
          <w:trHeight w:val="249"/>
        </w:trPr>
        <w:tc>
          <w:tcPr>
            <w:tcW w:w="4962" w:type="dxa"/>
          </w:tcPr>
          <w:p w14:paraId="69EDA1A0" w14:textId="0542C330" w:rsidR="002F537E" w:rsidRPr="00FE62CF" w:rsidRDefault="002F537E" w:rsidP="002F537E">
            <w:pPr>
              <w:pStyle w:val="Heading4"/>
              <w:keepNext w:val="0"/>
              <w:keepLines w:val="0"/>
              <w:numPr>
                <w:ilvl w:val="3"/>
                <w:numId w:val="8"/>
              </w:numPr>
              <w:tabs>
                <w:tab w:val="clear" w:pos="850"/>
              </w:tabs>
              <w:spacing w:before="60" w:after="0" w:line="240" w:lineRule="auto"/>
              <w:ind w:left="499" w:hanging="499"/>
              <w:jc w:val="both"/>
              <w:rPr>
                <w:rFonts w:ascii="Verdana" w:hAnsi="Verdana"/>
                <w:b w:val="0"/>
                <w:kern w:val="0"/>
                <w:sz w:val="16"/>
              </w:rPr>
            </w:pPr>
            <w:r w:rsidRPr="00FE62CF">
              <w:rPr>
                <w:rFonts w:ascii="Verdana" w:hAnsi="Verdana"/>
                <w:b w:val="0"/>
                <w:sz w:val="16"/>
              </w:rPr>
              <w:t>Wahl und Abberufung des Präsidenten und der übrigen Mitglieder des Verwaltungsrates, der Mitglieder des Vergütungsausschusses, der Revisionsstelle sowie des unabhängigen Stimmrechtsvertreters.</w:t>
            </w:r>
          </w:p>
        </w:tc>
        <w:tc>
          <w:tcPr>
            <w:tcW w:w="596" w:type="dxa"/>
            <w:vMerge/>
          </w:tcPr>
          <w:p w14:paraId="5C5E6D96" w14:textId="77777777" w:rsidR="002F537E" w:rsidRDefault="002F537E" w:rsidP="002F537E">
            <w:pPr>
              <w:pStyle w:val="BodyText2"/>
              <w:ind w:left="499" w:hanging="499"/>
              <w:rPr>
                <w:sz w:val="16"/>
              </w:rPr>
            </w:pPr>
          </w:p>
        </w:tc>
        <w:tc>
          <w:tcPr>
            <w:tcW w:w="5074" w:type="dxa"/>
          </w:tcPr>
          <w:p w14:paraId="2D9EF400" w14:textId="78435394" w:rsidR="002F537E" w:rsidRPr="005B1307" w:rsidRDefault="002F537E" w:rsidP="00C825D6">
            <w:pPr>
              <w:pStyle w:val="Heading4"/>
              <w:keepNext w:val="0"/>
              <w:keepLines w:val="0"/>
              <w:numPr>
                <w:ilvl w:val="3"/>
                <w:numId w:val="61"/>
              </w:numPr>
              <w:spacing w:before="60" w:after="0" w:line="240" w:lineRule="auto"/>
              <w:ind w:left="499" w:hanging="499"/>
              <w:jc w:val="both"/>
              <w:rPr>
                <w:rFonts w:ascii="Verdana" w:hAnsi="Verdana"/>
                <w:b w:val="0"/>
                <w:kern w:val="0"/>
                <w:sz w:val="16"/>
                <w:lang w:val="en-US"/>
              </w:rPr>
            </w:pPr>
            <w:r w:rsidRPr="005B1307">
              <w:rPr>
                <w:rFonts w:ascii="Verdana" w:hAnsi="Verdana"/>
                <w:b w:val="0"/>
                <w:kern w:val="0"/>
                <w:sz w:val="16"/>
                <w:lang w:val="en-US"/>
              </w:rPr>
              <w:t>Electing and dismissing the Chairman and the other members of the Board of Directors, the members of the Compensation Committee, the Statutory Auditors, and the Independent Proxy.</w:t>
            </w:r>
          </w:p>
        </w:tc>
      </w:tr>
      <w:tr w:rsidR="002F537E" w14:paraId="601B5B5E" w14:textId="77777777" w:rsidTr="00846CDA">
        <w:trPr>
          <w:trHeight w:val="249"/>
        </w:trPr>
        <w:tc>
          <w:tcPr>
            <w:tcW w:w="4962" w:type="dxa"/>
          </w:tcPr>
          <w:p w14:paraId="0EBA75E2" w14:textId="10D4019F" w:rsidR="002F537E" w:rsidRPr="00FE62CF" w:rsidRDefault="002F537E" w:rsidP="002F537E">
            <w:pPr>
              <w:pStyle w:val="Heading4"/>
              <w:keepNext w:val="0"/>
              <w:keepLines w:val="0"/>
              <w:numPr>
                <w:ilvl w:val="3"/>
                <w:numId w:val="8"/>
              </w:numPr>
              <w:tabs>
                <w:tab w:val="clear" w:pos="850"/>
              </w:tabs>
              <w:spacing w:before="60" w:after="0" w:line="240" w:lineRule="auto"/>
              <w:ind w:left="499" w:hanging="499"/>
              <w:jc w:val="both"/>
              <w:rPr>
                <w:rFonts w:ascii="Verdana" w:hAnsi="Verdana"/>
                <w:b w:val="0"/>
                <w:kern w:val="0"/>
                <w:sz w:val="16"/>
              </w:rPr>
            </w:pPr>
            <w:r w:rsidRPr="00FE62CF">
              <w:rPr>
                <w:rFonts w:ascii="Verdana" w:hAnsi="Verdana"/>
                <w:b w:val="0"/>
                <w:sz w:val="16"/>
              </w:rPr>
              <w:t>Genehmigung der Vergütungen des Verwaltungsrates und der Geschäftsleitung.</w:t>
            </w:r>
          </w:p>
        </w:tc>
        <w:tc>
          <w:tcPr>
            <w:tcW w:w="596" w:type="dxa"/>
            <w:vMerge/>
          </w:tcPr>
          <w:p w14:paraId="2249284F" w14:textId="77777777" w:rsidR="002F537E" w:rsidRDefault="002F537E" w:rsidP="002F537E">
            <w:pPr>
              <w:pStyle w:val="BodyText2"/>
              <w:ind w:left="499" w:hanging="499"/>
              <w:rPr>
                <w:sz w:val="16"/>
              </w:rPr>
            </w:pPr>
          </w:p>
        </w:tc>
        <w:tc>
          <w:tcPr>
            <w:tcW w:w="5074" w:type="dxa"/>
          </w:tcPr>
          <w:p w14:paraId="6B9C23EE" w14:textId="506ED81E" w:rsidR="002F537E" w:rsidRPr="004A07A5" w:rsidRDefault="002F537E" w:rsidP="00C825D6">
            <w:pPr>
              <w:pStyle w:val="Heading4"/>
              <w:keepNext w:val="0"/>
              <w:keepLines w:val="0"/>
              <w:numPr>
                <w:ilvl w:val="3"/>
                <w:numId w:val="62"/>
              </w:numPr>
              <w:spacing w:before="60" w:after="0" w:line="240" w:lineRule="auto"/>
              <w:ind w:left="499" w:hanging="499"/>
              <w:jc w:val="both"/>
              <w:rPr>
                <w:rFonts w:ascii="Verdana" w:hAnsi="Verdana"/>
                <w:b w:val="0"/>
                <w:kern w:val="0"/>
                <w:sz w:val="16"/>
                <w:lang w:val="en-US"/>
              </w:rPr>
            </w:pPr>
            <w:r w:rsidRPr="004A07A5">
              <w:rPr>
                <w:rFonts w:ascii="Verdana" w:hAnsi="Verdana"/>
                <w:b w:val="0"/>
                <w:kern w:val="0"/>
                <w:sz w:val="16"/>
                <w:lang w:val="en-US"/>
              </w:rPr>
              <w:t>Approval of the compensation of the Board of Directors and the Group Executive Board.</w:t>
            </w:r>
          </w:p>
        </w:tc>
      </w:tr>
      <w:tr w:rsidR="002F537E" w14:paraId="6BC015B2" w14:textId="77777777" w:rsidTr="00846CDA">
        <w:trPr>
          <w:trHeight w:val="249"/>
        </w:trPr>
        <w:tc>
          <w:tcPr>
            <w:tcW w:w="4962" w:type="dxa"/>
          </w:tcPr>
          <w:p w14:paraId="148D135F" w14:textId="3F969FC6" w:rsidR="002F537E" w:rsidRPr="00FE62CF" w:rsidRDefault="002F537E" w:rsidP="002F537E">
            <w:pPr>
              <w:pStyle w:val="Heading4"/>
              <w:keepNext w:val="0"/>
              <w:keepLines w:val="0"/>
              <w:numPr>
                <w:ilvl w:val="3"/>
                <w:numId w:val="8"/>
              </w:numPr>
              <w:tabs>
                <w:tab w:val="clear" w:pos="850"/>
              </w:tabs>
              <w:spacing w:before="60" w:after="0" w:line="240" w:lineRule="auto"/>
              <w:ind w:left="499" w:hanging="499"/>
              <w:jc w:val="both"/>
              <w:rPr>
                <w:rFonts w:ascii="Verdana" w:hAnsi="Verdana" w:cs="Segoe UI"/>
                <w:b w:val="0"/>
                <w:kern w:val="0"/>
                <w:sz w:val="16"/>
              </w:rPr>
            </w:pPr>
            <w:r w:rsidRPr="00FE62CF">
              <w:rPr>
                <w:rFonts w:ascii="Verdana" w:hAnsi="Verdana" w:cs="Segoe UI"/>
                <w:b w:val="0"/>
                <w:sz w:val="16"/>
              </w:rPr>
              <w:t>Beschlussfassung über weitere Gegenstände, die der Generalversammlung durch das Gesetz oder die Statuten vorbehalten sind.</w:t>
            </w:r>
          </w:p>
        </w:tc>
        <w:tc>
          <w:tcPr>
            <w:tcW w:w="596" w:type="dxa"/>
            <w:vMerge/>
          </w:tcPr>
          <w:p w14:paraId="032CDE69" w14:textId="77777777" w:rsidR="002F537E" w:rsidRDefault="002F537E" w:rsidP="002F537E">
            <w:pPr>
              <w:pStyle w:val="BodyText2"/>
              <w:ind w:left="499" w:hanging="499"/>
              <w:rPr>
                <w:sz w:val="16"/>
              </w:rPr>
            </w:pPr>
          </w:p>
        </w:tc>
        <w:tc>
          <w:tcPr>
            <w:tcW w:w="5074" w:type="dxa"/>
          </w:tcPr>
          <w:p w14:paraId="6B5D0CC7" w14:textId="7D64D855" w:rsidR="002F537E" w:rsidRPr="0066149F" w:rsidRDefault="002F537E" w:rsidP="00C825D6">
            <w:pPr>
              <w:pStyle w:val="Heading1"/>
              <w:numPr>
                <w:ilvl w:val="0"/>
                <w:numId w:val="65"/>
              </w:numPr>
              <w:spacing w:before="60" w:after="0" w:line="240" w:lineRule="auto"/>
              <w:ind w:left="499" w:hanging="499"/>
              <w:jc w:val="both"/>
              <w:rPr>
                <w:rFonts w:ascii="Verdana" w:hAnsi="Verdana"/>
                <w:b w:val="0"/>
                <w:sz w:val="16"/>
                <w:szCs w:val="16"/>
                <w:lang w:val="en-US"/>
              </w:rPr>
            </w:pPr>
            <w:r w:rsidRPr="0066149F">
              <w:rPr>
                <w:rFonts w:ascii="Verdana" w:hAnsi="Verdana"/>
                <w:b w:val="0"/>
                <w:sz w:val="16"/>
                <w:szCs w:val="16"/>
                <w:lang w:val="en-US"/>
              </w:rPr>
              <w:t>Deciding on other matters for which it is competent by law or under the Articles of Association.</w:t>
            </w:r>
          </w:p>
        </w:tc>
      </w:tr>
      <w:tr w:rsidR="002F537E" w:rsidRPr="00937FAC" w14:paraId="1E2BA55E" w14:textId="77777777" w:rsidTr="00846CDA">
        <w:tc>
          <w:tcPr>
            <w:tcW w:w="4962" w:type="dxa"/>
          </w:tcPr>
          <w:p w14:paraId="1CFD4418" w14:textId="77777777" w:rsidR="002F537E" w:rsidRPr="00996080" w:rsidRDefault="002F537E" w:rsidP="002F537E">
            <w:pPr>
              <w:jc w:val="center"/>
              <w:rPr>
                <w:rFonts w:ascii="Verdana" w:hAnsi="Verdana"/>
                <w:b/>
                <w:sz w:val="16"/>
                <w:lang w:val="en-US"/>
              </w:rPr>
            </w:pPr>
          </w:p>
          <w:p w14:paraId="3B2A0AC3" w14:textId="730B46E9" w:rsidR="002F537E" w:rsidRPr="00937FAC" w:rsidRDefault="002F537E" w:rsidP="002F537E">
            <w:pPr>
              <w:jc w:val="center"/>
              <w:rPr>
                <w:rFonts w:ascii="Verdana" w:hAnsi="Verdana"/>
                <w:b/>
                <w:sz w:val="16"/>
                <w:lang w:val="de-CH"/>
              </w:rPr>
            </w:pPr>
            <w:r>
              <w:rPr>
                <w:rFonts w:ascii="Verdana" w:hAnsi="Verdana"/>
                <w:b/>
                <w:sz w:val="16"/>
                <w:lang w:val="de-CH"/>
              </w:rPr>
              <w:t>Art. 12</w:t>
            </w:r>
          </w:p>
          <w:p w14:paraId="56EB9D9A" w14:textId="77777777" w:rsidR="002F537E" w:rsidRPr="00937FAC" w:rsidRDefault="002F537E" w:rsidP="002F537E">
            <w:pPr>
              <w:jc w:val="center"/>
              <w:rPr>
                <w:rFonts w:ascii="Verdana" w:hAnsi="Verdana"/>
                <w:b/>
                <w:sz w:val="16"/>
                <w:lang w:val="de-CH"/>
              </w:rPr>
            </w:pPr>
            <w:r>
              <w:rPr>
                <w:rFonts w:ascii="Verdana" w:hAnsi="Verdana"/>
                <w:b/>
                <w:sz w:val="16"/>
                <w:lang w:val="de-CH"/>
              </w:rPr>
              <w:t>Einberufung der Generalversammlung</w:t>
            </w:r>
          </w:p>
        </w:tc>
        <w:tc>
          <w:tcPr>
            <w:tcW w:w="596" w:type="dxa"/>
          </w:tcPr>
          <w:p w14:paraId="2809F0B8" w14:textId="77777777" w:rsidR="002F537E" w:rsidRDefault="002F537E" w:rsidP="002F537E">
            <w:pPr>
              <w:ind w:right="-108"/>
              <w:jc w:val="center"/>
              <w:rPr>
                <w:rFonts w:ascii="Verdana" w:hAnsi="Verdana"/>
                <w:sz w:val="16"/>
                <w:lang w:val="de-CH"/>
              </w:rPr>
            </w:pPr>
          </w:p>
          <w:p w14:paraId="2064792B" w14:textId="77777777" w:rsidR="002F537E" w:rsidRPr="003E4B7D" w:rsidRDefault="002F537E" w:rsidP="002F537E">
            <w:pPr>
              <w:jc w:val="center"/>
              <w:rPr>
                <w:rFonts w:ascii="Verdana" w:hAnsi="Verdana"/>
                <w:sz w:val="16"/>
                <w:lang w:val="de-CH"/>
              </w:rPr>
            </w:pPr>
          </w:p>
        </w:tc>
        <w:tc>
          <w:tcPr>
            <w:tcW w:w="5074" w:type="dxa"/>
          </w:tcPr>
          <w:p w14:paraId="4989348C" w14:textId="77777777" w:rsidR="002F537E" w:rsidRPr="00937FAC" w:rsidRDefault="002F537E" w:rsidP="002F537E">
            <w:pPr>
              <w:jc w:val="center"/>
              <w:rPr>
                <w:rFonts w:ascii="Verdana" w:hAnsi="Verdana"/>
                <w:b/>
                <w:sz w:val="16"/>
                <w:lang w:val="en-GB"/>
              </w:rPr>
            </w:pPr>
          </w:p>
          <w:p w14:paraId="2FB1B51A" w14:textId="12AC5088" w:rsidR="002F537E" w:rsidRDefault="002F537E" w:rsidP="002F537E">
            <w:pPr>
              <w:jc w:val="center"/>
              <w:rPr>
                <w:rFonts w:ascii="Verdana" w:hAnsi="Verdana"/>
                <w:b/>
                <w:sz w:val="16"/>
                <w:lang w:val="en-GB"/>
              </w:rPr>
            </w:pPr>
            <w:r>
              <w:rPr>
                <w:rFonts w:ascii="Verdana" w:hAnsi="Verdana"/>
                <w:b/>
                <w:sz w:val="16"/>
                <w:lang w:val="en-GB"/>
              </w:rPr>
              <w:t>Art. 12</w:t>
            </w:r>
          </w:p>
          <w:p w14:paraId="4F7D82E8" w14:textId="77777777" w:rsidR="002F537E" w:rsidRPr="00937FAC" w:rsidRDefault="002F537E" w:rsidP="002F537E">
            <w:pPr>
              <w:jc w:val="center"/>
              <w:rPr>
                <w:rFonts w:ascii="Verdana" w:hAnsi="Verdana"/>
                <w:b/>
                <w:sz w:val="16"/>
                <w:lang w:val="en-GB"/>
              </w:rPr>
            </w:pPr>
            <w:r>
              <w:rPr>
                <w:rFonts w:ascii="Verdana" w:hAnsi="Verdana"/>
                <w:b/>
                <w:sz w:val="16"/>
                <w:lang w:val="en-GB"/>
              </w:rPr>
              <w:t>Convening the General Meeting</w:t>
            </w:r>
          </w:p>
          <w:p w14:paraId="1D13DDAB" w14:textId="77777777" w:rsidR="002F537E" w:rsidRPr="00937FAC" w:rsidRDefault="002F537E" w:rsidP="002F537E">
            <w:pPr>
              <w:jc w:val="center"/>
              <w:rPr>
                <w:rFonts w:ascii="Verdana" w:hAnsi="Verdana"/>
                <w:b/>
                <w:sz w:val="16"/>
                <w:lang w:val="en-GB"/>
              </w:rPr>
            </w:pPr>
          </w:p>
        </w:tc>
      </w:tr>
      <w:tr w:rsidR="002F537E" w:rsidRPr="00937FAC" w14:paraId="61902E76" w14:textId="77777777" w:rsidTr="00846CDA">
        <w:trPr>
          <w:trHeight w:val="514"/>
        </w:trPr>
        <w:tc>
          <w:tcPr>
            <w:tcW w:w="4962" w:type="dxa"/>
          </w:tcPr>
          <w:p w14:paraId="0D1324DC" w14:textId="35298661" w:rsidR="002F537E" w:rsidRPr="00392DF5" w:rsidRDefault="002F537E" w:rsidP="002F537E">
            <w:pPr>
              <w:pStyle w:val="BodyText2"/>
              <w:numPr>
                <w:ilvl w:val="0"/>
                <w:numId w:val="4"/>
              </w:numPr>
              <w:spacing w:before="60"/>
              <w:ind w:left="425" w:hanging="425"/>
              <w:rPr>
                <w:sz w:val="16"/>
              </w:rPr>
            </w:pPr>
            <w:r w:rsidRPr="00A1421C">
              <w:rPr>
                <w:sz w:val="16"/>
              </w:rPr>
              <w:t xml:space="preserve">Die Generalversammlung wird durch den Verwaltungsrat, nötigenfalls durch die Revisionsstelle einberufen. </w:t>
            </w:r>
            <w:r w:rsidRPr="002A2924">
              <w:rPr>
                <w:sz w:val="16"/>
              </w:rPr>
              <w:t xml:space="preserve">Das Einberufungsrecht steht auch den Liquidatoren und für den Fall der Ausgabe von Obligationenanleihen den Vertretern der Anleihensgläubiger zu. </w:t>
            </w:r>
          </w:p>
        </w:tc>
        <w:tc>
          <w:tcPr>
            <w:tcW w:w="596" w:type="dxa"/>
            <w:vMerge w:val="restart"/>
          </w:tcPr>
          <w:p w14:paraId="3279BE93" w14:textId="77777777" w:rsidR="002F537E" w:rsidRPr="009F3809" w:rsidRDefault="002F537E" w:rsidP="002F537E">
            <w:pPr>
              <w:pStyle w:val="BodyText2"/>
              <w:spacing w:before="60"/>
              <w:ind w:left="425" w:right="-108" w:hanging="425"/>
              <w:rPr>
                <w:sz w:val="16"/>
              </w:rPr>
            </w:pPr>
          </w:p>
        </w:tc>
        <w:tc>
          <w:tcPr>
            <w:tcW w:w="5074" w:type="dxa"/>
          </w:tcPr>
          <w:p w14:paraId="389259EA" w14:textId="759EF918" w:rsidR="002F537E" w:rsidRPr="00392DF5" w:rsidRDefault="002F537E" w:rsidP="00C825D6">
            <w:pPr>
              <w:pStyle w:val="BodyText2"/>
              <w:numPr>
                <w:ilvl w:val="0"/>
                <w:numId w:val="39"/>
              </w:numPr>
              <w:spacing w:before="60"/>
              <w:ind w:left="425" w:hanging="425"/>
              <w:rPr>
                <w:sz w:val="16"/>
                <w:lang w:val="en-US"/>
              </w:rPr>
            </w:pPr>
            <w:r w:rsidRPr="00B129A2">
              <w:rPr>
                <w:sz w:val="16"/>
                <w:lang w:val="en-US"/>
              </w:rPr>
              <w:t>The General Meeting shall be convened by the Board of Directors, or by the Statutory Auditors if necessary. Liquidators and, in the case of bond issues, representatives of the bond holders are also entitled to convene a General Meeting.</w:t>
            </w:r>
          </w:p>
        </w:tc>
      </w:tr>
      <w:tr w:rsidR="002F537E" w:rsidRPr="00937FAC" w14:paraId="2845860F" w14:textId="77777777" w:rsidTr="00846CDA">
        <w:trPr>
          <w:trHeight w:val="511"/>
        </w:trPr>
        <w:tc>
          <w:tcPr>
            <w:tcW w:w="4962" w:type="dxa"/>
          </w:tcPr>
          <w:p w14:paraId="5C95E151" w14:textId="13409291" w:rsidR="002F537E" w:rsidRPr="00392DF5" w:rsidRDefault="002F537E" w:rsidP="002F537E">
            <w:pPr>
              <w:pStyle w:val="BodyText2"/>
              <w:numPr>
                <w:ilvl w:val="0"/>
                <w:numId w:val="4"/>
              </w:numPr>
              <w:spacing w:before="60"/>
              <w:ind w:left="425" w:hanging="425"/>
              <w:rPr>
                <w:sz w:val="16"/>
              </w:rPr>
            </w:pPr>
            <w:r w:rsidRPr="00F16845">
              <w:rPr>
                <w:sz w:val="16"/>
              </w:rPr>
              <w:t>Zeitpunkt und Ort der Generalversammlung, die im Ausland abgehalten</w:t>
            </w:r>
            <w:r>
              <w:rPr>
                <w:sz w:val="16"/>
              </w:rPr>
              <w:t xml:space="preserve"> werden</w:t>
            </w:r>
            <w:r w:rsidRPr="00F16845">
              <w:rPr>
                <w:sz w:val="16"/>
              </w:rPr>
              <w:t xml:space="preserve"> kann, werden durch den Verwaltungsrat oder durch ein anderes Organ, welches zur Einberufung der Generalversammlung befugt ist, bestimmt. </w:t>
            </w:r>
          </w:p>
        </w:tc>
        <w:tc>
          <w:tcPr>
            <w:tcW w:w="596" w:type="dxa"/>
            <w:vMerge/>
          </w:tcPr>
          <w:p w14:paraId="7CF1D89B" w14:textId="77777777" w:rsidR="002F537E" w:rsidRPr="009F3809" w:rsidRDefault="002F537E" w:rsidP="002F537E">
            <w:pPr>
              <w:pStyle w:val="BodyText2"/>
              <w:spacing w:before="60"/>
              <w:ind w:left="425" w:right="-108" w:hanging="425"/>
              <w:rPr>
                <w:sz w:val="16"/>
              </w:rPr>
            </w:pPr>
          </w:p>
        </w:tc>
        <w:tc>
          <w:tcPr>
            <w:tcW w:w="5074" w:type="dxa"/>
          </w:tcPr>
          <w:p w14:paraId="650FBFFF" w14:textId="2AD74D5C" w:rsidR="002F537E" w:rsidRPr="00392DF5" w:rsidRDefault="002F537E" w:rsidP="00C825D6">
            <w:pPr>
              <w:pStyle w:val="BodyText2"/>
              <w:numPr>
                <w:ilvl w:val="0"/>
                <w:numId w:val="39"/>
              </w:numPr>
              <w:spacing w:before="60"/>
              <w:ind w:left="425" w:hanging="425"/>
              <w:rPr>
                <w:sz w:val="16"/>
                <w:lang w:val="en-US"/>
              </w:rPr>
            </w:pPr>
            <w:r w:rsidRPr="00B129A2">
              <w:rPr>
                <w:sz w:val="16"/>
                <w:lang w:val="en-US"/>
              </w:rPr>
              <w:t xml:space="preserve">The Board of Directors, or any other body lawfully convening the General Meeting, shall determine the time and location of the General Meeting which can be held outside of Switzerland. </w:t>
            </w:r>
          </w:p>
        </w:tc>
      </w:tr>
      <w:tr w:rsidR="001F6BEF" w:rsidRPr="001F6BEF" w14:paraId="2EA32EDF" w14:textId="77777777" w:rsidTr="006F3AE4">
        <w:trPr>
          <w:trHeight w:val="1898"/>
        </w:trPr>
        <w:tc>
          <w:tcPr>
            <w:tcW w:w="4962" w:type="dxa"/>
          </w:tcPr>
          <w:p w14:paraId="364F65DD" w14:textId="3BCEA5C4" w:rsidR="001F6BEF" w:rsidRPr="00F16845" w:rsidRDefault="001F6BEF" w:rsidP="002F537E">
            <w:pPr>
              <w:pStyle w:val="BodyText2"/>
              <w:numPr>
                <w:ilvl w:val="0"/>
                <w:numId w:val="4"/>
              </w:numPr>
              <w:spacing w:before="60"/>
              <w:ind w:left="425" w:hanging="425"/>
              <w:rPr>
                <w:sz w:val="16"/>
              </w:rPr>
            </w:pPr>
            <w:r w:rsidRPr="001F6BEF">
              <w:rPr>
                <w:sz w:val="16"/>
              </w:rPr>
              <w:t xml:space="preserve">Der Verwaltungsrat kann bestimmen, dass die Generalversammlung an verschiedenen Tagungsorten gleichzeitig durchgeführt wird, vorausgesetzt, dass die Voten der Teilnehmer unmittelbar in Bild und Ton an sämtliche Tagungsorte übertragen werden und dass die Aktionäre, die nicht am Tagungsort oder den Tagungsorten der Generalversammlung anwesend sind, ihre Rechte auf elektronischem </w:t>
            </w:r>
            <w:r w:rsidR="009512F8">
              <w:rPr>
                <w:sz w:val="16"/>
              </w:rPr>
              <w:t xml:space="preserve">oder digitalem </w:t>
            </w:r>
            <w:r w:rsidRPr="001F6BEF">
              <w:rPr>
                <w:sz w:val="16"/>
              </w:rPr>
              <w:t>Weg ausüben können.</w:t>
            </w:r>
          </w:p>
        </w:tc>
        <w:tc>
          <w:tcPr>
            <w:tcW w:w="596" w:type="dxa"/>
            <w:vMerge/>
          </w:tcPr>
          <w:p w14:paraId="1F03A3BB" w14:textId="77777777" w:rsidR="001F6BEF" w:rsidRPr="009F3809" w:rsidRDefault="001F6BEF" w:rsidP="002F537E">
            <w:pPr>
              <w:pStyle w:val="BodyText2"/>
              <w:spacing w:before="60"/>
              <w:ind w:left="425" w:right="-108" w:hanging="425"/>
              <w:rPr>
                <w:sz w:val="16"/>
              </w:rPr>
            </w:pPr>
          </w:p>
        </w:tc>
        <w:tc>
          <w:tcPr>
            <w:tcW w:w="5074" w:type="dxa"/>
          </w:tcPr>
          <w:p w14:paraId="69AD0B9B" w14:textId="2340DD05" w:rsidR="001F6BEF" w:rsidRPr="007348BC" w:rsidRDefault="001F6BEF" w:rsidP="00C825D6">
            <w:pPr>
              <w:pStyle w:val="BodyText2"/>
              <w:numPr>
                <w:ilvl w:val="0"/>
                <w:numId w:val="39"/>
              </w:numPr>
              <w:spacing w:before="60"/>
              <w:ind w:left="425" w:hanging="425"/>
              <w:rPr>
                <w:sz w:val="16"/>
                <w:szCs w:val="16"/>
                <w:lang w:val="en-US"/>
              </w:rPr>
            </w:pPr>
            <w:r w:rsidRPr="007348BC">
              <w:rPr>
                <w:sz w:val="16"/>
                <w:szCs w:val="16"/>
                <w:lang w:val="en-US"/>
              </w:rPr>
              <w:t>The Board of Directors may determine that the General Meeting shall be held simultaneously at different locations, provided that the contributions of the participants are transmitted directly via video and audio to all venues and that shareholders who are not present at the venue</w:t>
            </w:r>
            <w:r w:rsidR="00B877AA">
              <w:rPr>
                <w:sz w:val="16"/>
                <w:szCs w:val="16"/>
                <w:lang w:val="en-US"/>
              </w:rPr>
              <w:t>(s)</w:t>
            </w:r>
            <w:r w:rsidRPr="007348BC">
              <w:rPr>
                <w:sz w:val="16"/>
                <w:szCs w:val="16"/>
                <w:lang w:val="en-US"/>
              </w:rPr>
              <w:t xml:space="preserve"> of the General Meeting, may exercise their rights by electronic </w:t>
            </w:r>
            <w:r w:rsidR="009512F8">
              <w:rPr>
                <w:sz w:val="16"/>
                <w:szCs w:val="16"/>
                <w:lang w:val="en-US"/>
              </w:rPr>
              <w:t xml:space="preserve">or digital </w:t>
            </w:r>
            <w:r w:rsidRPr="007348BC">
              <w:rPr>
                <w:sz w:val="16"/>
                <w:szCs w:val="16"/>
                <w:lang w:val="en-US"/>
              </w:rPr>
              <w:t>means</w:t>
            </w:r>
            <w:r w:rsidR="009512F8">
              <w:rPr>
                <w:sz w:val="16"/>
                <w:szCs w:val="16"/>
                <w:lang w:val="en-US"/>
              </w:rPr>
              <w:t>.</w:t>
            </w:r>
          </w:p>
        </w:tc>
      </w:tr>
      <w:tr w:rsidR="001F6BEF" w:rsidRPr="001F6BEF" w14:paraId="10773606" w14:textId="77777777" w:rsidTr="00846CDA">
        <w:trPr>
          <w:trHeight w:val="511"/>
        </w:trPr>
        <w:tc>
          <w:tcPr>
            <w:tcW w:w="4962" w:type="dxa"/>
          </w:tcPr>
          <w:p w14:paraId="07C54855" w14:textId="6D9AC573" w:rsidR="001F6BEF" w:rsidRPr="002A2924" w:rsidRDefault="001F6BEF" w:rsidP="001F6BEF">
            <w:pPr>
              <w:pStyle w:val="BodyText2"/>
              <w:numPr>
                <w:ilvl w:val="0"/>
                <w:numId w:val="4"/>
              </w:numPr>
              <w:spacing w:before="60"/>
              <w:ind w:left="425" w:hanging="425"/>
              <w:rPr>
                <w:sz w:val="16"/>
              </w:rPr>
            </w:pPr>
            <w:bookmarkStart w:id="4" w:name="_Hlk128936249"/>
            <w:r w:rsidRPr="001F6BEF">
              <w:rPr>
                <w:sz w:val="16"/>
              </w:rPr>
              <w:t>Ungeachtet anderer Bestimmungen dieser Statuten kann der Verwaltungsrat vorsehen, dass die Generalversammlung auf elektronischem Weg ohne physischen Tagungsort durchgeführt wird</w:t>
            </w:r>
            <w:r w:rsidR="001A08AE">
              <w:rPr>
                <w:sz w:val="16"/>
              </w:rPr>
              <w:t>.</w:t>
            </w:r>
            <w:r w:rsidR="00776393">
              <w:rPr>
                <w:sz w:val="16"/>
              </w:rPr>
              <w:t xml:space="preserve"> </w:t>
            </w:r>
          </w:p>
        </w:tc>
        <w:tc>
          <w:tcPr>
            <w:tcW w:w="596" w:type="dxa"/>
            <w:vMerge/>
          </w:tcPr>
          <w:p w14:paraId="3674AC70" w14:textId="77777777" w:rsidR="001F6BEF" w:rsidRPr="009F3809" w:rsidRDefault="001F6BEF" w:rsidP="001F6BEF">
            <w:pPr>
              <w:pStyle w:val="BodyText2"/>
              <w:spacing w:before="60"/>
              <w:ind w:left="425" w:right="-108" w:hanging="425"/>
              <w:rPr>
                <w:sz w:val="16"/>
              </w:rPr>
            </w:pPr>
          </w:p>
        </w:tc>
        <w:tc>
          <w:tcPr>
            <w:tcW w:w="5074" w:type="dxa"/>
          </w:tcPr>
          <w:p w14:paraId="35080A12" w14:textId="54B567CB" w:rsidR="001F6BEF" w:rsidRPr="007348BC" w:rsidRDefault="001F6BEF" w:rsidP="00C825D6">
            <w:pPr>
              <w:pStyle w:val="BodyText2"/>
              <w:numPr>
                <w:ilvl w:val="0"/>
                <w:numId w:val="39"/>
              </w:numPr>
              <w:spacing w:before="60"/>
              <w:ind w:left="425" w:hanging="425"/>
              <w:rPr>
                <w:sz w:val="16"/>
                <w:szCs w:val="16"/>
                <w:lang w:val="en-US"/>
              </w:rPr>
            </w:pPr>
            <w:r w:rsidRPr="007348BC">
              <w:rPr>
                <w:sz w:val="16"/>
                <w:szCs w:val="16"/>
                <w:lang w:val="en-US"/>
              </w:rPr>
              <w:t>Notwithstanding any other provision herein, the Board of Directors may also determine</w:t>
            </w:r>
            <w:r w:rsidR="00601E54">
              <w:rPr>
                <w:sz w:val="16"/>
                <w:szCs w:val="16"/>
                <w:lang w:val="en-US"/>
              </w:rPr>
              <w:t xml:space="preserve"> </w:t>
            </w:r>
            <w:r w:rsidRPr="007348BC">
              <w:rPr>
                <w:sz w:val="16"/>
                <w:szCs w:val="16"/>
                <w:lang w:val="en-US"/>
              </w:rPr>
              <w:t xml:space="preserve">that the General Meeting shall be held by electronic means without </w:t>
            </w:r>
            <w:r w:rsidR="00C12822">
              <w:rPr>
                <w:sz w:val="16"/>
                <w:szCs w:val="16"/>
                <w:lang w:val="en-US"/>
              </w:rPr>
              <w:t xml:space="preserve">a </w:t>
            </w:r>
            <w:r w:rsidRPr="007348BC">
              <w:rPr>
                <w:sz w:val="16"/>
                <w:szCs w:val="16"/>
                <w:lang w:val="en-US"/>
              </w:rPr>
              <w:t xml:space="preserve">physical </w:t>
            </w:r>
            <w:r w:rsidR="00C12822">
              <w:rPr>
                <w:sz w:val="16"/>
                <w:szCs w:val="16"/>
                <w:lang w:val="en-US"/>
              </w:rPr>
              <w:t>venue</w:t>
            </w:r>
            <w:r w:rsidRPr="007348BC">
              <w:rPr>
                <w:sz w:val="16"/>
                <w:szCs w:val="16"/>
                <w:lang w:val="en-US"/>
              </w:rPr>
              <w:t>.</w:t>
            </w:r>
          </w:p>
        </w:tc>
      </w:tr>
      <w:bookmarkEnd w:id="4"/>
      <w:tr w:rsidR="002F537E" w:rsidRPr="00937FAC" w14:paraId="7A8E4ECF" w14:textId="77777777" w:rsidTr="00846CDA">
        <w:trPr>
          <w:trHeight w:val="511"/>
        </w:trPr>
        <w:tc>
          <w:tcPr>
            <w:tcW w:w="4962" w:type="dxa"/>
          </w:tcPr>
          <w:p w14:paraId="0E34C0EC" w14:textId="636C271E" w:rsidR="002F537E" w:rsidRPr="00392DF5" w:rsidRDefault="002F537E" w:rsidP="002F537E">
            <w:pPr>
              <w:pStyle w:val="BodyText2"/>
              <w:numPr>
                <w:ilvl w:val="0"/>
                <w:numId w:val="4"/>
              </w:numPr>
              <w:spacing w:before="60"/>
              <w:ind w:left="425" w:hanging="425"/>
              <w:rPr>
                <w:sz w:val="16"/>
              </w:rPr>
            </w:pPr>
            <w:r w:rsidRPr="002A2924">
              <w:rPr>
                <w:sz w:val="16"/>
              </w:rPr>
              <w:t xml:space="preserve">Die ordentliche Versammlung findet alljährlich innerhalb von sechs Monaten nach Schluss des Geschäftsjahres statt, ausserordentliche Versammlungen werden </w:t>
            </w:r>
            <w:r>
              <w:rPr>
                <w:sz w:val="16"/>
              </w:rPr>
              <w:t>im Bedarfsfall</w:t>
            </w:r>
            <w:r w:rsidRPr="002A2924">
              <w:rPr>
                <w:sz w:val="16"/>
              </w:rPr>
              <w:t xml:space="preserve"> einberufen. </w:t>
            </w:r>
          </w:p>
        </w:tc>
        <w:tc>
          <w:tcPr>
            <w:tcW w:w="596" w:type="dxa"/>
            <w:vMerge/>
          </w:tcPr>
          <w:p w14:paraId="18D9DE8D" w14:textId="77777777" w:rsidR="002F537E" w:rsidRPr="009F3809" w:rsidRDefault="002F537E" w:rsidP="002F537E">
            <w:pPr>
              <w:pStyle w:val="BodyText2"/>
              <w:spacing w:before="60"/>
              <w:ind w:left="425" w:right="-108" w:hanging="425"/>
              <w:rPr>
                <w:sz w:val="16"/>
              </w:rPr>
            </w:pPr>
          </w:p>
        </w:tc>
        <w:tc>
          <w:tcPr>
            <w:tcW w:w="5074" w:type="dxa"/>
          </w:tcPr>
          <w:p w14:paraId="793B7F44" w14:textId="012A4BE9" w:rsidR="002F537E" w:rsidRPr="00392DF5" w:rsidRDefault="002F537E" w:rsidP="00C825D6">
            <w:pPr>
              <w:pStyle w:val="BodyText2"/>
              <w:numPr>
                <w:ilvl w:val="0"/>
                <w:numId w:val="39"/>
              </w:numPr>
              <w:spacing w:before="60"/>
              <w:ind w:left="425" w:hanging="425"/>
              <w:rPr>
                <w:sz w:val="16"/>
                <w:lang w:val="en-US"/>
              </w:rPr>
            </w:pPr>
            <w:r w:rsidRPr="00B129A2">
              <w:rPr>
                <w:sz w:val="16"/>
                <w:lang w:val="en-US"/>
              </w:rPr>
              <w:t xml:space="preserve">An Ordinary General Meeting shall be held every year within six months of the close of the previous financial year. </w:t>
            </w:r>
            <w:r w:rsidRPr="00392DF5">
              <w:rPr>
                <w:sz w:val="16"/>
                <w:lang w:val="en-US"/>
              </w:rPr>
              <w:t xml:space="preserve">Extraordinary General Meetings shall be convened as required. </w:t>
            </w:r>
          </w:p>
        </w:tc>
      </w:tr>
      <w:tr w:rsidR="002F537E" w:rsidRPr="00937FAC" w14:paraId="5222AC41" w14:textId="77777777" w:rsidTr="00846CDA">
        <w:trPr>
          <w:trHeight w:val="511"/>
        </w:trPr>
        <w:tc>
          <w:tcPr>
            <w:tcW w:w="4962" w:type="dxa"/>
          </w:tcPr>
          <w:p w14:paraId="407245D3" w14:textId="4CB52155" w:rsidR="002F537E" w:rsidRPr="00A1421C" w:rsidRDefault="002F537E" w:rsidP="000D16ED">
            <w:pPr>
              <w:pStyle w:val="BodyText2"/>
              <w:numPr>
                <w:ilvl w:val="0"/>
                <w:numId w:val="4"/>
              </w:numPr>
              <w:spacing w:before="60"/>
              <w:ind w:left="425" w:hanging="425"/>
              <w:rPr>
                <w:sz w:val="16"/>
              </w:rPr>
            </w:pPr>
            <w:r w:rsidRPr="00C12822">
              <w:rPr>
                <w:sz w:val="16"/>
              </w:rPr>
              <w:t xml:space="preserve">Die Einberufung einer Generalversammlung kann auch von einem oder mehreren Aktionären, die zusammen mindestens </w:t>
            </w:r>
            <w:r w:rsidR="005E571B" w:rsidRPr="00C12822">
              <w:rPr>
                <w:sz w:val="16"/>
              </w:rPr>
              <w:t>5</w:t>
            </w:r>
            <w:r w:rsidRPr="00C12822">
              <w:rPr>
                <w:sz w:val="16"/>
              </w:rPr>
              <w:t xml:space="preserve">% des Aktienkapitals </w:t>
            </w:r>
            <w:r w:rsidR="006F3AE4" w:rsidRPr="00C12822">
              <w:rPr>
                <w:sz w:val="16"/>
              </w:rPr>
              <w:t xml:space="preserve">oder der Stimmen </w:t>
            </w:r>
            <w:r w:rsidRPr="00C12822">
              <w:rPr>
                <w:sz w:val="16"/>
              </w:rPr>
              <w:t xml:space="preserve">vertreten, </w:t>
            </w:r>
            <w:r w:rsidR="00740340" w:rsidRPr="00C12822">
              <w:rPr>
                <w:sz w:val="16"/>
              </w:rPr>
              <w:t xml:space="preserve">schriftlich unter Angabe des Verhandlungsgegenstandes und des Antrages, und bei Wahlen des oder der Namen </w:t>
            </w:r>
            <w:r w:rsidR="00C12349" w:rsidRPr="00C12822">
              <w:rPr>
                <w:sz w:val="16"/>
              </w:rPr>
              <w:t xml:space="preserve">des oder </w:t>
            </w:r>
            <w:r w:rsidR="00740340" w:rsidRPr="00C12822">
              <w:rPr>
                <w:sz w:val="16"/>
              </w:rPr>
              <w:t xml:space="preserve">der vorgeschlagenen Kandidaten, </w:t>
            </w:r>
            <w:r w:rsidRPr="00C12822">
              <w:rPr>
                <w:sz w:val="16"/>
              </w:rPr>
              <w:t xml:space="preserve">verlangt werden. Aktionäre, die zusammen mindestens </w:t>
            </w:r>
            <w:r w:rsidR="005E571B" w:rsidRPr="00C12822">
              <w:rPr>
                <w:sz w:val="16"/>
              </w:rPr>
              <w:t>0.5</w:t>
            </w:r>
            <w:r w:rsidRPr="00C12822">
              <w:rPr>
                <w:sz w:val="16"/>
              </w:rPr>
              <w:t>% des Aktienkapitals</w:t>
            </w:r>
            <w:r w:rsidR="006F3AE4" w:rsidRPr="00C12822">
              <w:rPr>
                <w:sz w:val="16"/>
              </w:rPr>
              <w:t xml:space="preserve"> oder der Stimmen</w:t>
            </w:r>
            <w:r w:rsidRPr="00C12822">
              <w:rPr>
                <w:sz w:val="16"/>
              </w:rPr>
              <w:t xml:space="preserve"> vertreten, können bis spätestens </w:t>
            </w:r>
            <w:r w:rsidR="00EB0F0D" w:rsidRPr="00C12822">
              <w:rPr>
                <w:sz w:val="16"/>
              </w:rPr>
              <w:t>45</w:t>
            </w:r>
            <w:r w:rsidRPr="00C12822">
              <w:rPr>
                <w:sz w:val="16"/>
              </w:rPr>
              <w:t xml:space="preserve"> Kalendertage vor der Generalversammlung schriftlich unter Angabe der Anträge die </w:t>
            </w:r>
            <w:proofErr w:type="spellStart"/>
            <w:r w:rsidRPr="00C12822">
              <w:rPr>
                <w:sz w:val="16"/>
              </w:rPr>
              <w:t>Traktandierung</w:t>
            </w:r>
            <w:proofErr w:type="spellEnd"/>
            <w:r w:rsidRPr="00C12822">
              <w:rPr>
                <w:sz w:val="16"/>
              </w:rPr>
              <w:t xml:space="preserve"> eines Verhandlungsgegenstandes verlangen.</w:t>
            </w:r>
            <w:r w:rsidR="00C12822" w:rsidRPr="00C12822">
              <w:rPr>
                <w:sz w:val="16"/>
              </w:rPr>
              <w:t xml:space="preserve"> Soll eine Begründung in die Einberufung aufgenommen werden, </w:t>
            </w:r>
            <w:r w:rsidR="00C12822" w:rsidRPr="00C12822">
              <w:rPr>
                <w:sz w:val="16"/>
              </w:rPr>
              <w:lastRenderedPageBreak/>
              <w:t>ist sie innert derselben Frist einzureichen und kurz, klar und prägnant zu</w:t>
            </w:r>
            <w:r w:rsidR="00C12822">
              <w:rPr>
                <w:sz w:val="16"/>
              </w:rPr>
              <w:t xml:space="preserve"> </w:t>
            </w:r>
            <w:r w:rsidR="00C12822" w:rsidRPr="00C12822">
              <w:rPr>
                <w:sz w:val="16"/>
              </w:rPr>
              <w:t>formulieren.</w:t>
            </w:r>
          </w:p>
        </w:tc>
        <w:tc>
          <w:tcPr>
            <w:tcW w:w="596" w:type="dxa"/>
            <w:vMerge/>
          </w:tcPr>
          <w:p w14:paraId="7AED7568" w14:textId="77777777" w:rsidR="002F537E" w:rsidRPr="009F3809" w:rsidRDefault="002F537E" w:rsidP="002F537E">
            <w:pPr>
              <w:pStyle w:val="BodyText2"/>
              <w:spacing w:before="60"/>
              <w:ind w:left="425" w:right="-108" w:hanging="425"/>
              <w:rPr>
                <w:sz w:val="16"/>
              </w:rPr>
            </w:pPr>
          </w:p>
        </w:tc>
        <w:tc>
          <w:tcPr>
            <w:tcW w:w="5074" w:type="dxa"/>
          </w:tcPr>
          <w:p w14:paraId="02BE1B1C" w14:textId="638978D4" w:rsidR="002F537E" w:rsidRPr="00B129A2" w:rsidRDefault="002F537E" w:rsidP="00C825D6">
            <w:pPr>
              <w:pStyle w:val="BodyText2"/>
              <w:numPr>
                <w:ilvl w:val="0"/>
                <w:numId w:val="39"/>
              </w:numPr>
              <w:spacing w:before="60"/>
              <w:ind w:left="425" w:hanging="425"/>
              <w:rPr>
                <w:sz w:val="16"/>
                <w:lang w:val="en-US"/>
              </w:rPr>
            </w:pPr>
            <w:r w:rsidRPr="00C12822">
              <w:rPr>
                <w:sz w:val="16"/>
                <w:lang w:val="en-US"/>
              </w:rPr>
              <w:t xml:space="preserve">The convening of a General Meeting may also be requested by one or more shareholders who together represent at least </w:t>
            </w:r>
            <w:r w:rsidR="005E571B" w:rsidRPr="00C12822">
              <w:rPr>
                <w:sz w:val="16"/>
                <w:lang w:val="en-US"/>
              </w:rPr>
              <w:t>5</w:t>
            </w:r>
            <w:r w:rsidRPr="00C12822">
              <w:rPr>
                <w:sz w:val="16"/>
                <w:lang w:val="en-US"/>
              </w:rPr>
              <w:t xml:space="preserve">% of the Company’s share </w:t>
            </w:r>
            <w:r w:rsidRPr="00EC5AD2">
              <w:rPr>
                <w:sz w:val="16"/>
                <w:lang w:val="en-US"/>
              </w:rPr>
              <w:t>capital</w:t>
            </w:r>
            <w:r w:rsidR="00152B99">
              <w:rPr>
                <w:sz w:val="16"/>
                <w:lang w:val="en-US"/>
              </w:rPr>
              <w:t xml:space="preserve"> or votes</w:t>
            </w:r>
            <w:r w:rsidR="00740340" w:rsidRPr="00C12822">
              <w:rPr>
                <w:sz w:val="16"/>
                <w:lang w:val="en-US"/>
              </w:rPr>
              <w:t xml:space="preserve">, indicating in such request the agenda items and the corresponding proposals and, in </w:t>
            </w:r>
            <w:r w:rsidR="004E6B20" w:rsidRPr="00C12822">
              <w:rPr>
                <w:sz w:val="16"/>
                <w:lang w:val="en-US"/>
              </w:rPr>
              <w:t>the event</w:t>
            </w:r>
            <w:r w:rsidR="00740340" w:rsidRPr="00C12822">
              <w:rPr>
                <w:sz w:val="16"/>
                <w:lang w:val="en-US"/>
              </w:rPr>
              <w:t xml:space="preserve"> of elections, the name(s) of the nominated candidate</w:t>
            </w:r>
            <w:r w:rsidR="00C12349" w:rsidRPr="00C12822">
              <w:rPr>
                <w:sz w:val="16"/>
                <w:lang w:val="en-US"/>
              </w:rPr>
              <w:t>(</w:t>
            </w:r>
            <w:r w:rsidR="00740340" w:rsidRPr="00C12822">
              <w:rPr>
                <w:sz w:val="16"/>
                <w:lang w:val="en-US"/>
              </w:rPr>
              <w:t>s</w:t>
            </w:r>
            <w:r w:rsidR="00C12349" w:rsidRPr="00C12822">
              <w:rPr>
                <w:sz w:val="16"/>
                <w:lang w:val="en-US"/>
              </w:rPr>
              <w:t>)</w:t>
            </w:r>
            <w:r w:rsidRPr="00C12822">
              <w:rPr>
                <w:sz w:val="16"/>
                <w:lang w:val="en-US"/>
              </w:rPr>
              <w:t xml:space="preserve">. Shareholders who together represent at least </w:t>
            </w:r>
            <w:r w:rsidR="005E571B" w:rsidRPr="00C12822">
              <w:rPr>
                <w:sz w:val="16"/>
                <w:lang w:val="en-US"/>
              </w:rPr>
              <w:t>0.</w:t>
            </w:r>
            <w:r w:rsidRPr="00C12822">
              <w:rPr>
                <w:sz w:val="16"/>
                <w:lang w:val="en-US"/>
              </w:rPr>
              <w:t xml:space="preserve">5% of the Company’s share capital </w:t>
            </w:r>
            <w:r w:rsidR="00152B99">
              <w:rPr>
                <w:sz w:val="16"/>
                <w:lang w:val="en-US"/>
              </w:rPr>
              <w:t xml:space="preserve">or </w:t>
            </w:r>
            <w:proofErr w:type="gramStart"/>
            <w:r w:rsidR="00152B99">
              <w:rPr>
                <w:sz w:val="16"/>
                <w:lang w:val="en-US"/>
              </w:rPr>
              <w:t>votes</w:t>
            </w:r>
            <w:proofErr w:type="gramEnd"/>
            <w:r w:rsidR="00152B99">
              <w:rPr>
                <w:sz w:val="16"/>
                <w:lang w:val="en-US"/>
              </w:rPr>
              <w:t xml:space="preserve"> </w:t>
            </w:r>
            <w:r w:rsidRPr="00C12822">
              <w:rPr>
                <w:sz w:val="16"/>
                <w:lang w:val="en-US"/>
              </w:rPr>
              <w:t xml:space="preserve">may request </w:t>
            </w:r>
            <w:r w:rsidR="00837E34" w:rsidRPr="00C12822">
              <w:rPr>
                <w:sz w:val="16"/>
                <w:lang w:val="en-US"/>
              </w:rPr>
              <w:t xml:space="preserve">in writing </w:t>
            </w:r>
            <w:r w:rsidRPr="00C12822">
              <w:rPr>
                <w:sz w:val="16"/>
                <w:lang w:val="en-US"/>
              </w:rPr>
              <w:t xml:space="preserve">that an item be placed on the agenda at least </w:t>
            </w:r>
            <w:r w:rsidR="00EB0F0D" w:rsidRPr="00C12822">
              <w:rPr>
                <w:sz w:val="16"/>
                <w:lang w:val="en-US"/>
              </w:rPr>
              <w:t>45</w:t>
            </w:r>
            <w:r w:rsidR="005E571B" w:rsidRPr="00C12822">
              <w:rPr>
                <w:sz w:val="16"/>
                <w:lang w:val="en-US"/>
              </w:rPr>
              <w:t xml:space="preserve"> </w:t>
            </w:r>
            <w:r w:rsidRPr="00C12822">
              <w:rPr>
                <w:sz w:val="16"/>
                <w:lang w:val="en-US"/>
              </w:rPr>
              <w:t>days in advance of the General Meeting.</w:t>
            </w:r>
            <w:r w:rsidR="00C12822" w:rsidRPr="00C12822">
              <w:rPr>
                <w:sz w:val="16"/>
                <w:lang w:val="en-US"/>
              </w:rPr>
              <w:t xml:space="preserve"> If an explanatory statement is to be included in the notice of meeting, it must be submitted within the same period and </w:t>
            </w:r>
            <w:r w:rsidR="00AB7EFA">
              <w:rPr>
                <w:sz w:val="16"/>
                <w:lang w:val="en-US"/>
              </w:rPr>
              <w:t xml:space="preserve">be </w:t>
            </w:r>
            <w:r w:rsidR="00C12822">
              <w:rPr>
                <w:sz w:val="16"/>
                <w:lang w:val="en-US"/>
              </w:rPr>
              <w:t>b</w:t>
            </w:r>
            <w:r w:rsidR="00CE4773">
              <w:rPr>
                <w:sz w:val="16"/>
                <w:lang w:val="en-US"/>
              </w:rPr>
              <w:t>rief</w:t>
            </w:r>
            <w:r w:rsidR="00C12822" w:rsidRPr="00C12822">
              <w:rPr>
                <w:sz w:val="16"/>
                <w:lang w:val="en-US"/>
              </w:rPr>
              <w:t>, clear and concise.</w:t>
            </w:r>
          </w:p>
        </w:tc>
      </w:tr>
      <w:tr w:rsidR="002F537E" w:rsidRPr="00937FAC" w14:paraId="41FC7F25" w14:textId="77777777" w:rsidTr="00846CDA">
        <w:tc>
          <w:tcPr>
            <w:tcW w:w="4962" w:type="dxa"/>
          </w:tcPr>
          <w:p w14:paraId="73535781" w14:textId="77777777" w:rsidR="002F537E" w:rsidRPr="009F3809" w:rsidRDefault="002F537E" w:rsidP="002F537E">
            <w:pPr>
              <w:jc w:val="center"/>
              <w:rPr>
                <w:rFonts w:ascii="Verdana" w:hAnsi="Verdana"/>
                <w:b/>
                <w:sz w:val="16"/>
                <w:lang w:val="en-US"/>
              </w:rPr>
            </w:pPr>
          </w:p>
          <w:p w14:paraId="5F50EC9E" w14:textId="731D9A63" w:rsidR="002F537E" w:rsidRDefault="002F537E" w:rsidP="002F537E">
            <w:pPr>
              <w:jc w:val="center"/>
              <w:rPr>
                <w:rFonts w:ascii="Verdana" w:hAnsi="Verdana"/>
                <w:b/>
                <w:sz w:val="16"/>
                <w:lang w:val="de-CH"/>
              </w:rPr>
            </w:pPr>
            <w:r>
              <w:rPr>
                <w:rFonts w:ascii="Verdana" w:hAnsi="Verdana"/>
                <w:b/>
                <w:sz w:val="16"/>
                <w:lang w:val="de-CH"/>
              </w:rPr>
              <w:t>Art. 13</w:t>
            </w:r>
          </w:p>
          <w:p w14:paraId="3E9253DF" w14:textId="77777777" w:rsidR="002F537E" w:rsidRPr="00937FAC" w:rsidRDefault="002F537E" w:rsidP="002F537E">
            <w:pPr>
              <w:jc w:val="center"/>
              <w:rPr>
                <w:rFonts w:ascii="Verdana" w:hAnsi="Verdana"/>
                <w:b/>
                <w:sz w:val="16"/>
                <w:lang w:val="de-CH"/>
              </w:rPr>
            </w:pPr>
            <w:r>
              <w:rPr>
                <w:rFonts w:ascii="Verdana" w:hAnsi="Verdana"/>
                <w:b/>
                <w:sz w:val="16"/>
                <w:lang w:val="de-CH"/>
              </w:rPr>
              <w:t>Einberufungsverfahren</w:t>
            </w:r>
          </w:p>
          <w:p w14:paraId="0EA87020" w14:textId="77777777" w:rsidR="002F537E" w:rsidRPr="00937FAC" w:rsidRDefault="002F537E" w:rsidP="002F537E">
            <w:pPr>
              <w:jc w:val="center"/>
              <w:rPr>
                <w:rFonts w:ascii="Verdana" w:hAnsi="Verdana"/>
                <w:b/>
                <w:sz w:val="16"/>
                <w:lang w:val="de-CH"/>
              </w:rPr>
            </w:pPr>
          </w:p>
        </w:tc>
        <w:tc>
          <w:tcPr>
            <w:tcW w:w="596" w:type="dxa"/>
          </w:tcPr>
          <w:p w14:paraId="6EE2347E" w14:textId="77777777" w:rsidR="002F537E" w:rsidRPr="00FC71F0" w:rsidRDefault="002F537E" w:rsidP="002F537E">
            <w:pPr>
              <w:jc w:val="center"/>
              <w:rPr>
                <w:rFonts w:ascii="Verdana" w:hAnsi="Verdana"/>
                <w:sz w:val="16"/>
                <w:lang w:val="en-US"/>
              </w:rPr>
            </w:pPr>
          </w:p>
        </w:tc>
        <w:tc>
          <w:tcPr>
            <w:tcW w:w="5074" w:type="dxa"/>
          </w:tcPr>
          <w:p w14:paraId="7704C0CD" w14:textId="77777777" w:rsidR="002F537E" w:rsidRPr="00937FAC" w:rsidRDefault="002F537E" w:rsidP="002F537E">
            <w:pPr>
              <w:jc w:val="center"/>
              <w:rPr>
                <w:rFonts w:ascii="Verdana" w:hAnsi="Verdana"/>
                <w:b/>
                <w:sz w:val="16"/>
                <w:lang w:val="en-GB"/>
              </w:rPr>
            </w:pPr>
          </w:p>
          <w:p w14:paraId="0C658292" w14:textId="779A3CDB" w:rsidR="002F537E" w:rsidRPr="00B129A2" w:rsidRDefault="002F537E" w:rsidP="002F537E">
            <w:pPr>
              <w:jc w:val="center"/>
              <w:rPr>
                <w:rFonts w:ascii="Verdana" w:hAnsi="Verdana"/>
                <w:b/>
                <w:sz w:val="16"/>
                <w:lang w:val="en-US"/>
              </w:rPr>
            </w:pPr>
            <w:r w:rsidRPr="00B129A2">
              <w:rPr>
                <w:rFonts w:ascii="Verdana" w:hAnsi="Verdana"/>
                <w:b/>
                <w:sz w:val="16"/>
                <w:lang w:val="en-US"/>
              </w:rPr>
              <w:t>Art. 13</w:t>
            </w:r>
          </w:p>
          <w:p w14:paraId="2D4EC586" w14:textId="77777777" w:rsidR="002F537E" w:rsidRPr="00937FAC" w:rsidRDefault="002F537E" w:rsidP="002F537E">
            <w:pPr>
              <w:jc w:val="center"/>
              <w:rPr>
                <w:rFonts w:ascii="Verdana" w:hAnsi="Verdana"/>
                <w:b/>
                <w:sz w:val="16"/>
                <w:lang w:val="en-GB"/>
              </w:rPr>
            </w:pPr>
            <w:r w:rsidRPr="00B129A2">
              <w:rPr>
                <w:rFonts w:ascii="Verdana" w:hAnsi="Verdana"/>
                <w:b/>
                <w:sz w:val="16"/>
                <w:lang w:val="en-US"/>
              </w:rPr>
              <w:t>Procedure for calling a General Meeting</w:t>
            </w:r>
          </w:p>
        </w:tc>
      </w:tr>
      <w:tr w:rsidR="002F537E" w:rsidRPr="00937FAC" w14:paraId="20C2B870" w14:textId="77777777" w:rsidTr="00846CDA">
        <w:tc>
          <w:tcPr>
            <w:tcW w:w="4962" w:type="dxa"/>
          </w:tcPr>
          <w:p w14:paraId="3F918E14" w14:textId="77777777" w:rsidR="002F537E" w:rsidRDefault="002F537E" w:rsidP="002F537E">
            <w:pPr>
              <w:pStyle w:val="BodyText2"/>
              <w:spacing w:before="60"/>
              <w:rPr>
                <w:sz w:val="16"/>
              </w:rPr>
            </w:pPr>
            <w:r w:rsidRPr="00A1421C">
              <w:rPr>
                <w:sz w:val="16"/>
              </w:rPr>
              <w:t xml:space="preserve">Die Einberufung zur ordentlichen oder ausserordentlichen Generalversammlung erfolgt wenigstens 20 Tage vor der Versammlung durch Publikation im „Schweizerischen Handelsamtsblatt". </w:t>
            </w:r>
            <w:r w:rsidRPr="00A93165">
              <w:rPr>
                <w:sz w:val="16"/>
              </w:rPr>
              <w:t xml:space="preserve">Publikation und Einladung müssen unter Angabe von Ort, Zeit und der Verhandlungsgegenstände sowie des Wortlauts der Anträge des Verwaltungsrates und der Aktionäre, welche die Durchführung einer Generalversammlung oder die </w:t>
            </w:r>
            <w:proofErr w:type="spellStart"/>
            <w:r w:rsidRPr="00A93165">
              <w:rPr>
                <w:sz w:val="16"/>
              </w:rPr>
              <w:t>Traktandierung</w:t>
            </w:r>
            <w:proofErr w:type="spellEnd"/>
            <w:r w:rsidRPr="00A93165">
              <w:rPr>
                <w:sz w:val="16"/>
              </w:rPr>
              <w:t xml:space="preserve"> eines Verhandlungsgegenstandes verlangt haben, erfolgen.</w:t>
            </w:r>
          </w:p>
          <w:p w14:paraId="1838F23D" w14:textId="77777777" w:rsidR="002F537E" w:rsidRDefault="002F537E" w:rsidP="002F537E">
            <w:pPr>
              <w:pStyle w:val="BodyText2"/>
              <w:spacing w:before="60"/>
              <w:rPr>
                <w:sz w:val="16"/>
              </w:rPr>
            </w:pPr>
          </w:p>
          <w:p w14:paraId="0EA683A3" w14:textId="4E045B8C" w:rsidR="002F537E" w:rsidRPr="00937FAC" w:rsidRDefault="002F537E" w:rsidP="002F537E">
            <w:pPr>
              <w:pStyle w:val="BodyText2"/>
              <w:spacing w:before="60"/>
              <w:rPr>
                <w:sz w:val="16"/>
              </w:rPr>
            </w:pPr>
          </w:p>
        </w:tc>
        <w:tc>
          <w:tcPr>
            <w:tcW w:w="596" w:type="dxa"/>
          </w:tcPr>
          <w:p w14:paraId="2514CBD9" w14:textId="77777777" w:rsidR="002F537E" w:rsidRDefault="002F537E" w:rsidP="002F537E">
            <w:pPr>
              <w:pStyle w:val="BodyText2"/>
              <w:spacing w:before="60"/>
              <w:rPr>
                <w:sz w:val="16"/>
              </w:rPr>
            </w:pPr>
          </w:p>
        </w:tc>
        <w:tc>
          <w:tcPr>
            <w:tcW w:w="5074" w:type="dxa"/>
          </w:tcPr>
          <w:p w14:paraId="29DD1030" w14:textId="65DC2C20" w:rsidR="002F537E" w:rsidRPr="00996080" w:rsidRDefault="002F537E" w:rsidP="002F537E">
            <w:pPr>
              <w:pStyle w:val="BodyText2"/>
              <w:spacing w:before="60"/>
              <w:rPr>
                <w:sz w:val="16"/>
                <w:lang w:val="en-GB"/>
              </w:rPr>
            </w:pPr>
            <w:r w:rsidRPr="00B129A2">
              <w:rPr>
                <w:sz w:val="16"/>
                <w:lang w:val="en-US"/>
              </w:rPr>
              <w:t xml:space="preserve">Ordinary and Extraordinary General Meetings shall be formally called at least 20 days in advance through corresponding publication in the </w:t>
            </w:r>
            <w:proofErr w:type="spellStart"/>
            <w:r w:rsidRPr="00B129A2">
              <w:rPr>
                <w:sz w:val="16"/>
                <w:lang w:val="en-US"/>
              </w:rPr>
              <w:t>Schweizerisches</w:t>
            </w:r>
            <w:proofErr w:type="spellEnd"/>
            <w:r w:rsidRPr="00B129A2">
              <w:rPr>
                <w:sz w:val="16"/>
                <w:lang w:val="en-US"/>
              </w:rPr>
              <w:t xml:space="preserve"> </w:t>
            </w:r>
            <w:proofErr w:type="spellStart"/>
            <w:r w:rsidRPr="00B129A2">
              <w:rPr>
                <w:sz w:val="16"/>
                <w:lang w:val="en-US"/>
              </w:rPr>
              <w:t>Handelsamtsblatt</w:t>
            </w:r>
            <w:proofErr w:type="spellEnd"/>
            <w:r w:rsidRPr="00B129A2">
              <w:rPr>
                <w:sz w:val="16"/>
                <w:lang w:val="en-US"/>
              </w:rPr>
              <w:t xml:space="preserve"> (Swiss Official Gazette of Commerce). Such publication and letters of invitation must indicate the date, time and venue of the meeting, the items on the agenda, and the wording of any motions proposed by the Board of Directors or by shareholders who have requested the convention of a General Meeting or the inclusion of an item on the meeting’s agenda.</w:t>
            </w:r>
          </w:p>
        </w:tc>
      </w:tr>
      <w:tr w:rsidR="002F537E" w:rsidRPr="00937FAC" w14:paraId="70D0757A" w14:textId="77777777" w:rsidTr="00846CDA">
        <w:tc>
          <w:tcPr>
            <w:tcW w:w="4962" w:type="dxa"/>
          </w:tcPr>
          <w:p w14:paraId="692A6099" w14:textId="77777777" w:rsidR="002F537E" w:rsidRPr="00996080" w:rsidRDefault="002F537E" w:rsidP="002F537E">
            <w:pPr>
              <w:jc w:val="center"/>
              <w:rPr>
                <w:rFonts w:ascii="Verdana" w:hAnsi="Verdana"/>
                <w:b/>
                <w:sz w:val="16"/>
                <w:lang w:val="en-US"/>
              </w:rPr>
            </w:pPr>
          </w:p>
          <w:p w14:paraId="19C8CB77" w14:textId="51B8B97B" w:rsidR="002F537E" w:rsidRPr="00937FAC" w:rsidRDefault="002F537E" w:rsidP="002F537E">
            <w:pPr>
              <w:jc w:val="center"/>
              <w:rPr>
                <w:rFonts w:ascii="Verdana" w:hAnsi="Verdana"/>
                <w:b/>
                <w:sz w:val="16"/>
                <w:lang w:val="de-CH"/>
              </w:rPr>
            </w:pPr>
            <w:r>
              <w:rPr>
                <w:rFonts w:ascii="Verdana" w:hAnsi="Verdana"/>
                <w:b/>
                <w:sz w:val="16"/>
                <w:lang w:val="de-CH"/>
              </w:rPr>
              <w:t>Art. 14</w:t>
            </w:r>
          </w:p>
          <w:p w14:paraId="47324DB3" w14:textId="77777777" w:rsidR="002F537E" w:rsidRPr="00937FAC" w:rsidRDefault="002F537E" w:rsidP="002F537E">
            <w:pPr>
              <w:jc w:val="center"/>
              <w:rPr>
                <w:rFonts w:ascii="Verdana" w:hAnsi="Verdana"/>
                <w:b/>
                <w:sz w:val="16"/>
                <w:lang w:val="de-CH"/>
              </w:rPr>
            </w:pPr>
            <w:r>
              <w:rPr>
                <w:rFonts w:ascii="Verdana" w:hAnsi="Verdana"/>
                <w:b/>
                <w:sz w:val="16"/>
                <w:lang w:val="de-CH"/>
              </w:rPr>
              <w:t>Stimmrecht, Vertretung von Aktien</w:t>
            </w:r>
          </w:p>
        </w:tc>
        <w:tc>
          <w:tcPr>
            <w:tcW w:w="596" w:type="dxa"/>
          </w:tcPr>
          <w:p w14:paraId="6FDBB214" w14:textId="77777777" w:rsidR="002F537E" w:rsidRPr="00937FAC" w:rsidRDefault="002F537E" w:rsidP="002F537E">
            <w:pPr>
              <w:jc w:val="center"/>
              <w:rPr>
                <w:rFonts w:ascii="Verdana" w:hAnsi="Verdana"/>
                <w:sz w:val="16"/>
                <w:lang w:val="de-CH"/>
              </w:rPr>
            </w:pPr>
          </w:p>
        </w:tc>
        <w:tc>
          <w:tcPr>
            <w:tcW w:w="5074" w:type="dxa"/>
          </w:tcPr>
          <w:p w14:paraId="5A4B923D" w14:textId="77777777" w:rsidR="002F537E" w:rsidRPr="00361C81" w:rsidRDefault="002F537E" w:rsidP="002F537E">
            <w:pPr>
              <w:jc w:val="center"/>
              <w:rPr>
                <w:rFonts w:ascii="Verdana" w:hAnsi="Verdana"/>
                <w:b/>
                <w:sz w:val="16"/>
                <w:lang w:val="de-CH"/>
              </w:rPr>
            </w:pPr>
          </w:p>
          <w:p w14:paraId="20361A6F" w14:textId="36B084B7" w:rsidR="002F537E" w:rsidRDefault="002F537E" w:rsidP="002F537E">
            <w:pPr>
              <w:jc w:val="center"/>
              <w:rPr>
                <w:rFonts w:ascii="Verdana" w:hAnsi="Verdana"/>
                <w:b/>
                <w:sz w:val="16"/>
                <w:lang w:val="en-GB"/>
              </w:rPr>
            </w:pPr>
            <w:r w:rsidRPr="00937FAC">
              <w:rPr>
                <w:rFonts w:ascii="Verdana" w:hAnsi="Verdana"/>
                <w:b/>
                <w:sz w:val="16"/>
                <w:lang w:val="en-GB"/>
              </w:rPr>
              <w:t>Art. 1</w:t>
            </w:r>
            <w:r>
              <w:rPr>
                <w:rFonts w:ascii="Verdana" w:hAnsi="Verdana"/>
                <w:b/>
                <w:sz w:val="16"/>
                <w:lang w:val="en-GB"/>
              </w:rPr>
              <w:t>4</w:t>
            </w:r>
          </w:p>
          <w:p w14:paraId="56A0D9DB" w14:textId="77777777" w:rsidR="002F537E" w:rsidRPr="00937FAC" w:rsidRDefault="002F537E" w:rsidP="002F537E">
            <w:pPr>
              <w:jc w:val="center"/>
              <w:rPr>
                <w:rFonts w:ascii="Verdana" w:hAnsi="Verdana"/>
                <w:b/>
                <w:sz w:val="16"/>
                <w:lang w:val="en-GB"/>
              </w:rPr>
            </w:pPr>
            <w:r>
              <w:rPr>
                <w:rFonts w:ascii="Verdana" w:hAnsi="Verdana"/>
                <w:b/>
                <w:sz w:val="16"/>
                <w:lang w:val="en-GB"/>
              </w:rPr>
              <w:t>Voting rights and representation of shares</w:t>
            </w:r>
          </w:p>
          <w:p w14:paraId="73D295F9" w14:textId="77777777" w:rsidR="002F537E" w:rsidRPr="00937FAC" w:rsidRDefault="002F537E" w:rsidP="002F537E">
            <w:pPr>
              <w:jc w:val="center"/>
              <w:rPr>
                <w:rFonts w:ascii="Verdana" w:hAnsi="Verdana"/>
                <w:b/>
                <w:sz w:val="16"/>
                <w:lang w:val="en-GB"/>
              </w:rPr>
            </w:pPr>
          </w:p>
        </w:tc>
      </w:tr>
      <w:tr w:rsidR="002F537E" w:rsidRPr="00937FAC" w14:paraId="197B1D84" w14:textId="77777777" w:rsidTr="00846CDA">
        <w:trPr>
          <w:trHeight w:val="649"/>
        </w:trPr>
        <w:tc>
          <w:tcPr>
            <w:tcW w:w="4962" w:type="dxa"/>
          </w:tcPr>
          <w:p w14:paraId="61E42DCF" w14:textId="01A224A2" w:rsidR="002F537E" w:rsidRPr="00392DF5" w:rsidRDefault="002F537E" w:rsidP="002F537E">
            <w:pPr>
              <w:pStyle w:val="TextTopNum1"/>
              <w:numPr>
                <w:ilvl w:val="0"/>
                <w:numId w:val="5"/>
              </w:numPr>
              <w:spacing w:before="60" w:after="0" w:line="240" w:lineRule="auto"/>
              <w:ind w:left="425" w:hanging="425"/>
              <w:rPr>
                <w:rFonts w:ascii="Verdana" w:hAnsi="Verdana"/>
                <w:sz w:val="16"/>
              </w:rPr>
            </w:pPr>
            <w:r w:rsidRPr="00A1421C">
              <w:rPr>
                <w:rFonts w:ascii="Verdana" w:hAnsi="Verdana"/>
                <w:sz w:val="16"/>
              </w:rPr>
              <w:t xml:space="preserve">Jede Aktie berechtigt zu einer Stimme. Stimmberechtigt an der Generalversammlung ist nur, wer </w:t>
            </w:r>
            <w:r w:rsidRPr="007F11C7">
              <w:rPr>
                <w:rFonts w:ascii="Verdana" w:hAnsi="Verdana"/>
                <w:sz w:val="16"/>
              </w:rPr>
              <w:t>bis zu einem vom Verwaltungsrat bezeichneten, massgeblichen Tag (Stichtag) gemäss Art</w:t>
            </w:r>
            <w:r>
              <w:rPr>
                <w:rFonts w:ascii="Verdana" w:hAnsi="Verdana"/>
                <w:sz w:val="16"/>
              </w:rPr>
              <w:t xml:space="preserve">. </w:t>
            </w:r>
            <w:r w:rsidRPr="007F11C7">
              <w:rPr>
                <w:rFonts w:ascii="Verdana" w:hAnsi="Verdana"/>
                <w:sz w:val="16"/>
              </w:rPr>
              <w:t>7 der Statuten ordnungsgemäss im Aktienregister mit Stimmre</w:t>
            </w:r>
            <w:r>
              <w:rPr>
                <w:rFonts w:ascii="Verdana" w:hAnsi="Verdana"/>
                <w:sz w:val="16"/>
              </w:rPr>
              <w:t>cht eingetragen wurde. In Erman</w:t>
            </w:r>
            <w:r w:rsidRPr="007F11C7">
              <w:rPr>
                <w:rFonts w:ascii="Verdana" w:hAnsi="Verdana"/>
                <w:sz w:val="16"/>
              </w:rPr>
              <w:t>gelung einer solchen Bezeichnung liegt der Stichtag zehn Tage vor der Generalversammlung. Der Verwaltungsrat ist ermächtigt, die in diesem Absatz festgelegten Bestimmungen in der Einladung zur Generalversammlung oder in allgemeinen Reglementen oder Richtlinien zu präzisieren oder zu ergänzen.</w:t>
            </w:r>
          </w:p>
        </w:tc>
        <w:tc>
          <w:tcPr>
            <w:tcW w:w="596" w:type="dxa"/>
            <w:vMerge w:val="restart"/>
          </w:tcPr>
          <w:p w14:paraId="09BE55DD" w14:textId="77777777" w:rsidR="002F537E" w:rsidRPr="00937FAC" w:rsidRDefault="002F537E" w:rsidP="002F537E">
            <w:pPr>
              <w:spacing w:before="60"/>
              <w:ind w:left="425" w:hanging="425"/>
              <w:jc w:val="both"/>
              <w:rPr>
                <w:rFonts w:ascii="Verdana" w:hAnsi="Verdana"/>
                <w:sz w:val="16"/>
                <w:lang w:val="de-CH"/>
              </w:rPr>
            </w:pPr>
          </w:p>
        </w:tc>
        <w:tc>
          <w:tcPr>
            <w:tcW w:w="5074" w:type="dxa"/>
          </w:tcPr>
          <w:p w14:paraId="1C663E92" w14:textId="42E435E1" w:rsidR="002F537E" w:rsidRPr="00392DF5" w:rsidRDefault="002F537E" w:rsidP="00C825D6">
            <w:pPr>
              <w:pStyle w:val="TextTopNum1"/>
              <w:numPr>
                <w:ilvl w:val="0"/>
                <w:numId w:val="40"/>
              </w:numPr>
              <w:spacing w:before="60" w:after="0" w:line="240" w:lineRule="auto"/>
              <w:ind w:left="425" w:hanging="425"/>
              <w:rPr>
                <w:rFonts w:ascii="Verdana" w:hAnsi="Verdana"/>
                <w:sz w:val="16"/>
                <w:lang w:val="en-US"/>
              </w:rPr>
            </w:pPr>
            <w:r w:rsidRPr="00B129A2">
              <w:rPr>
                <w:rFonts w:ascii="Verdana" w:hAnsi="Verdana"/>
                <w:sz w:val="16"/>
                <w:lang w:val="en-US"/>
              </w:rPr>
              <w:t xml:space="preserve">Each share entitles its holder to one vote. Only those shareholders entered </w:t>
            </w:r>
            <w:proofErr w:type="gramStart"/>
            <w:r w:rsidRPr="00B129A2">
              <w:rPr>
                <w:rFonts w:ascii="Verdana" w:hAnsi="Verdana"/>
                <w:sz w:val="16"/>
                <w:lang w:val="en-US"/>
              </w:rPr>
              <w:t>in</w:t>
            </w:r>
            <w:proofErr w:type="gramEnd"/>
            <w:r w:rsidRPr="00B129A2">
              <w:rPr>
                <w:rFonts w:ascii="Verdana" w:hAnsi="Verdana"/>
                <w:sz w:val="16"/>
                <w:lang w:val="en-US"/>
              </w:rPr>
              <w:t xml:space="preserve"> the share register as shareholders with voting rights in accordance with </w:t>
            </w:r>
            <w:r>
              <w:rPr>
                <w:rFonts w:ascii="Verdana" w:hAnsi="Verdana"/>
                <w:sz w:val="16"/>
                <w:lang w:val="en-US"/>
              </w:rPr>
              <w:t>A</w:t>
            </w:r>
            <w:r w:rsidRPr="00B129A2">
              <w:rPr>
                <w:rFonts w:ascii="Verdana" w:hAnsi="Verdana"/>
                <w:sz w:val="16"/>
                <w:lang w:val="en-US"/>
              </w:rPr>
              <w:t>rt. 7 of the Articles of Association until a specific qualifying day (record date) designated by the Board of Directors</w:t>
            </w:r>
            <w:r w:rsidR="002368C8">
              <w:rPr>
                <w:rFonts w:ascii="Verdana" w:hAnsi="Verdana"/>
                <w:sz w:val="16"/>
                <w:lang w:val="en-US"/>
              </w:rPr>
              <w:t xml:space="preserve"> are entitled to vote</w:t>
            </w:r>
            <w:r w:rsidR="00604A38">
              <w:rPr>
                <w:rFonts w:ascii="Verdana" w:hAnsi="Verdana"/>
                <w:sz w:val="16"/>
                <w:lang w:val="en-US"/>
              </w:rPr>
              <w:t xml:space="preserve"> at the General Meeting</w:t>
            </w:r>
            <w:r w:rsidRPr="00B129A2">
              <w:rPr>
                <w:rFonts w:ascii="Verdana" w:hAnsi="Verdana"/>
                <w:sz w:val="16"/>
                <w:lang w:val="en-US"/>
              </w:rPr>
              <w:t xml:space="preserve">. In the absence of such designation, the record date shall be ten days prior to the General Meeting. The Board of Directors may, </w:t>
            </w:r>
            <w:proofErr w:type="gramStart"/>
            <w:r w:rsidRPr="00B129A2">
              <w:rPr>
                <w:rFonts w:ascii="Verdana" w:hAnsi="Verdana"/>
                <w:sz w:val="16"/>
                <w:lang w:val="en-US"/>
              </w:rPr>
              <w:t>in</w:t>
            </w:r>
            <w:proofErr w:type="gramEnd"/>
            <w:r w:rsidRPr="00B129A2">
              <w:rPr>
                <w:rFonts w:ascii="Verdana" w:hAnsi="Verdana"/>
                <w:sz w:val="16"/>
                <w:lang w:val="en-US"/>
              </w:rPr>
              <w:t xml:space="preserve"> the notice of a General Meeting or in general regulations or directives, specify or supplement the rules laid down in this paragraph.</w:t>
            </w:r>
          </w:p>
        </w:tc>
      </w:tr>
      <w:tr w:rsidR="002F537E" w:rsidRPr="00937FAC" w14:paraId="6069FCB9" w14:textId="77777777" w:rsidTr="00846CDA">
        <w:trPr>
          <w:trHeight w:val="647"/>
        </w:trPr>
        <w:tc>
          <w:tcPr>
            <w:tcW w:w="4962" w:type="dxa"/>
          </w:tcPr>
          <w:p w14:paraId="2D024E96" w14:textId="55D5BF57" w:rsidR="002F537E" w:rsidRPr="00392DF5" w:rsidRDefault="002F537E" w:rsidP="002F537E">
            <w:pPr>
              <w:pStyle w:val="TextTopNum1"/>
              <w:numPr>
                <w:ilvl w:val="0"/>
                <w:numId w:val="5"/>
              </w:numPr>
              <w:spacing w:before="60" w:after="0" w:line="240" w:lineRule="auto"/>
              <w:ind w:left="425" w:hanging="425"/>
              <w:rPr>
                <w:rFonts w:ascii="Verdana" w:hAnsi="Verdana"/>
                <w:sz w:val="16"/>
              </w:rPr>
            </w:pPr>
            <w:r w:rsidRPr="00FA21AF">
              <w:rPr>
                <w:rFonts w:ascii="Verdana" w:hAnsi="Verdana"/>
                <w:sz w:val="16"/>
              </w:rPr>
              <w:t>Ein Aktionär kann sich an der Generalversammlung mittels Erteilung einer schriftlichen Vollmacht an einen Dritten, der nicht Aktionär zu sein braucht, vertreten lassen.</w:t>
            </w:r>
          </w:p>
        </w:tc>
        <w:tc>
          <w:tcPr>
            <w:tcW w:w="596" w:type="dxa"/>
            <w:vMerge/>
          </w:tcPr>
          <w:p w14:paraId="4C8D92F4" w14:textId="77777777" w:rsidR="002F537E" w:rsidRPr="00937FAC" w:rsidRDefault="002F537E" w:rsidP="002F537E">
            <w:pPr>
              <w:spacing w:before="60"/>
              <w:ind w:left="425" w:hanging="425"/>
              <w:jc w:val="both"/>
              <w:rPr>
                <w:rFonts w:ascii="Verdana" w:hAnsi="Verdana"/>
                <w:sz w:val="16"/>
                <w:lang w:val="de-CH"/>
              </w:rPr>
            </w:pPr>
          </w:p>
        </w:tc>
        <w:tc>
          <w:tcPr>
            <w:tcW w:w="5074" w:type="dxa"/>
          </w:tcPr>
          <w:p w14:paraId="6E4B78E6" w14:textId="367858E8" w:rsidR="002F537E" w:rsidRPr="00392DF5" w:rsidRDefault="002F537E" w:rsidP="00C825D6">
            <w:pPr>
              <w:pStyle w:val="TextTopNum1"/>
              <w:numPr>
                <w:ilvl w:val="0"/>
                <w:numId w:val="40"/>
              </w:numPr>
              <w:spacing w:before="60" w:after="0" w:line="240" w:lineRule="auto"/>
              <w:ind w:left="425" w:hanging="425"/>
              <w:rPr>
                <w:rFonts w:ascii="Verdana" w:hAnsi="Verdana"/>
                <w:sz w:val="16"/>
                <w:lang w:val="en-US"/>
              </w:rPr>
            </w:pPr>
            <w:r w:rsidRPr="00B129A2">
              <w:rPr>
                <w:rFonts w:ascii="Verdana" w:hAnsi="Verdana"/>
                <w:sz w:val="16"/>
                <w:lang w:val="en-US"/>
              </w:rPr>
              <w:t xml:space="preserve">A shareholder may be represented at a General Meeting by means of a written proxy, by a third person who does not need to be a shareholder. </w:t>
            </w:r>
          </w:p>
        </w:tc>
      </w:tr>
      <w:tr w:rsidR="002F537E" w:rsidRPr="00937FAC" w14:paraId="7C38DAA1" w14:textId="77777777" w:rsidTr="00846CDA">
        <w:trPr>
          <w:trHeight w:val="647"/>
        </w:trPr>
        <w:tc>
          <w:tcPr>
            <w:tcW w:w="4962" w:type="dxa"/>
          </w:tcPr>
          <w:p w14:paraId="5D113812" w14:textId="3B31A923" w:rsidR="002F537E" w:rsidRPr="00392DF5" w:rsidRDefault="002F537E" w:rsidP="002F537E">
            <w:pPr>
              <w:pStyle w:val="TextTopNum1"/>
              <w:numPr>
                <w:ilvl w:val="0"/>
                <w:numId w:val="5"/>
              </w:numPr>
              <w:spacing w:before="60" w:after="0" w:line="240" w:lineRule="auto"/>
              <w:ind w:left="425" w:hanging="425"/>
              <w:rPr>
                <w:rFonts w:ascii="Verdana" w:hAnsi="Verdana"/>
                <w:sz w:val="16"/>
              </w:rPr>
            </w:pPr>
            <w:r w:rsidRPr="00FA21AF">
              <w:rPr>
                <w:rFonts w:ascii="Verdana" w:hAnsi="Verdana"/>
                <w:sz w:val="16"/>
              </w:rPr>
              <w:t>Mitglieder</w:t>
            </w:r>
            <w:r>
              <w:rPr>
                <w:rFonts w:ascii="Verdana" w:hAnsi="Verdana"/>
                <w:sz w:val="16"/>
              </w:rPr>
              <w:t xml:space="preserve"> des Verwaltungsrats und der Ge</w:t>
            </w:r>
            <w:r w:rsidRPr="00FA21AF">
              <w:rPr>
                <w:rFonts w:ascii="Verdana" w:hAnsi="Verdana"/>
                <w:sz w:val="16"/>
              </w:rPr>
              <w:t>schäftsleitung dürfen Aktionäre vertret</w:t>
            </w:r>
            <w:r>
              <w:rPr>
                <w:rFonts w:ascii="Verdana" w:hAnsi="Verdana"/>
                <w:sz w:val="16"/>
              </w:rPr>
              <w:t>en, so</w:t>
            </w:r>
            <w:r w:rsidRPr="00FA21AF">
              <w:rPr>
                <w:rFonts w:ascii="Verdana" w:hAnsi="Verdana"/>
                <w:sz w:val="16"/>
              </w:rPr>
              <w:t>fern es sich nicht um eine institutionalisierte Vertretung handelt. Verwahrungsstellen dürfen Aktionäre vertr</w:t>
            </w:r>
            <w:r>
              <w:rPr>
                <w:rFonts w:ascii="Verdana" w:hAnsi="Verdana"/>
                <w:sz w:val="16"/>
              </w:rPr>
              <w:t>eten und gelten nicht als Depot</w:t>
            </w:r>
            <w:r w:rsidRPr="00FA21AF">
              <w:rPr>
                <w:rFonts w:ascii="Verdana" w:hAnsi="Verdana"/>
                <w:sz w:val="16"/>
              </w:rPr>
              <w:t>vertreter (im Sinne von Art. 689d OR), sofern sie aufgrund einer schriftlichen Vollmacht und nach Massgabe v</w:t>
            </w:r>
            <w:r>
              <w:rPr>
                <w:rFonts w:ascii="Verdana" w:hAnsi="Verdana"/>
                <w:sz w:val="16"/>
              </w:rPr>
              <w:t>on konkreten oder allgemei</w:t>
            </w:r>
            <w:r w:rsidRPr="00FA21AF">
              <w:rPr>
                <w:rFonts w:ascii="Verdana" w:hAnsi="Verdana"/>
                <w:sz w:val="16"/>
              </w:rPr>
              <w:t>nen Weisungen des betreffenden Aktionärs handeln.</w:t>
            </w:r>
          </w:p>
        </w:tc>
        <w:tc>
          <w:tcPr>
            <w:tcW w:w="596" w:type="dxa"/>
            <w:vMerge/>
          </w:tcPr>
          <w:p w14:paraId="78A0F5D5" w14:textId="77777777" w:rsidR="002F537E" w:rsidRPr="00937FAC" w:rsidRDefault="002F537E" w:rsidP="002F537E">
            <w:pPr>
              <w:spacing w:before="60"/>
              <w:ind w:left="425" w:hanging="425"/>
              <w:jc w:val="both"/>
              <w:rPr>
                <w:rFonts w:ascii="Verdana" w:hAnsi="Verdana"/>
                <w:sz w:val="16"/>
                <w:lang w:val="de-CH"/>
              </w:rPr>
            </w:pPr>
          </w:p>
        </w:tc>
        <w:tc>
          <w:tcPr>
            <w:tcW w:w="5074" w:type="dxa"/>
          </w:tcPr>
          <w:p w14:paraId="5203F0C7" w14:textId="2774B733" w:rsidR="002F537E" w:rsidRPr="00392DF5" w:rsidRDefault="002F537E" w:rsidP="00C825D6">
            <w:pPr>
              <w:pStyle w:val="TextTopNum1"/>
              <w:numPr>
                <w:ilvl w:val="0"/>
                <w:numId w:val="40"/>
              </w:numPr>
              <w:spacing w:before="60" w:after="0" w:line="240" w:lineRule="auto"/>
              <w:ind w:left="425" w:hanging="425"/>
              <w:rPr>
                <w:rFonts w:ascii="Verdana" w:hAnsi="Verdana"/>
                <w:sz w:val="16"/>
                <w:lang w:val="en-US"/>
              </w:rPr>
            </w:pPr>
            <w:r w:rsidRPr="00B129A2">
              <w:rPr>
                <w:rFonts w:ascii="Verdana" w:hAnsi="Verdana"/>
                <w:sz w:val="16"/>
                <w:lang w:val="en-US"/>
              </w:rPr>
              <w:t xml:space="preserve">The members of the Board of Directors and the Group Executive Board are allowed to represent shareholders </w:t>
            </w:r>
            <w:proofErr w:type="gramStart"/>
            <w:r w:rsidRPr="00B129A2">
              <w:rPr>
                <w:rFonts w:ascii="Verdana" w:hAnsi="Verdana"/>
                <w:sz w:val="16"/>
                <w:lang w:val="en-US"/>
              </w:rPr>
              <w:t>provided that</w:t>
            </w:r>
            <w:proofErr w:type="gramEnd"/>
            <w:r w:rsidRPr="00B129A2">
              <w:rPr>
                <w:rFonts w:ascii="Verdana" w:hAnsi="Verdana"/>
                <w:sz w:val="16"/>
                <w:lang w:val="en-US"/>
              </w:rPr>
              <w:t xml:space="preserve"> this does not constitute an institutionalized representation of shareholders. Custodians may represent shareholders and shall not be deemed depositary representatives (in the sense of Art. 689d of the Swiss Code of Obligations), </w:t>
            </w:r>
            <w:proofErr w:type="gramStart"/>
            <w:r w:rsidRPr="00B129A2">
              <w:rPr>
                <w:rFonts w:ascii="Verdana" w:hAnsi="Verdana"/>
                <w:sz w:val="16"/>
                <w:lang w:val="en-US"/>
              </w:rPr>
              <w:t>provided that</w:t>
            </w:r>
            <w:proofErr w:type="gramEnd"/>
            <w:r w:rsidRPr="00B129A2">
              <w:rPr>
                <w:rFonts w:ascii="Verdana" w:hAnsi="Verdana"/>
                <w:sz w:val="16"/>
                <w:lang w:val="en-US"/>
              </w:rPr>
              <w:t xml:space="preserve"> they act based on a written proxy and in accordance with specific or general instructions of the relevant shareholder.</w:t>
            </w:r>
          </w:p>
        </w:tc>
      </w:tr>
      <w:tr w:rsidR="002F537E" w:rsidRPr="00937FAC" w14:paraId="088DB4DC" w14:textId="77777777" w:rsidTr="00846CDA">
        <w:trPr>
          <w:trHeight w:val="647"/>
        </w:trPr>
        <w:tc>
          <w:tcPr>
            <w:tcW w:w="4962" w:type="dxa"/>
          </w:tcPr>
          <w:p w14:paraId="2C28589D" w14:textId="1C109419" w:rsidR="002F537E" w:rsidRPr="00392DF5" w:rsidRDefault="002F537E" w:rsidP="002F537E">
            <w:pPr>
              <w:pStyle w:val="TextTopNum1"/>
              <w:numPr>
                <w:ilvl w:val="0"/>
                <w:numId w:val="5"/>
              </w:numPr>
              <w:spacing w:before="60" w:after="0" w:line="240" w:lineRule="auto"/>
              <w:ind w:left="425" w:hanging="425"/>
              <w:rPr>
                <w:rFonts w:ascii="Verdana" w:hAnsi="Verdana"/>
                <w:sz w:val="16"/>
              </w:rPr>
            </w:pPr>
            <w:r w:rsidRPr="008D2474">
              <w:rPr>
                <w:rFonts w:ascii="Verdana" w:hAnsi="Verdana"/>
                <w:sz w:val="16"/>
              </w:rPr>
              <w:t>Der Verwaltungsrat kann Verfahrensvorschriften im Zusammenhang mit der Teilnahme und Vertretung von Aktionären an der Generalversammlung erlassen und insbesondere die Erteilung von Weisungen an den unabhängigen Stimmrechtsvertreter näher regeln. Er sorgt dafür, dass die Aktionäre dem unabhängigen Stimmrechtsvertreter auch elektronische Vollmachten und Weisungen erteilen können, wobei er ermächtigt ist, in Abweichung von Absatz 2 vom Erfordernis einer qualifizierten elektronischen Signatur ganz oder teilweise abzusehen.</w:t>
            </w:r>
          </w:p>
        </w:tc>
        <w:tc>
          <w:tcPr>
            <w:tcW w:w="596" w:type="dxa"/>
            <w:vMerge/>
          </w:tcPr>
          <w:p w14:paraId="22DC37E8" w14:textId="77777777" w:rsidR="002F537E" w:rsidRPr="00937FAC" w:rsidRDefault="002F537E" w:rsidP="002F537E">
            <w:pPr>
              <w:spacing w:before="60"/>
              <w:ind w:left="425" w:hanging="425"/>
              <w:jc w:val="both"/>
              <w:rPr>
                <w:rFonts w:ascii="Verdana" w:hAnsi="Verdana"/>
                <w:sz w:val="16"/>
                <w:lang w:val="de-CH"/>
              </w:rPr>
            </w:pPr>
          </w:p>
        </w:tc>
        <w:tc>
          <w:tcPr>
            <w:tcW w:w="5074" w:type="dxa"/>
          </w:tcPr>
          <w:p w14:paraId="755993F3" w14:textId="0D14EC67" w:rsidR="002F537E" w:rsidRPr="00392DF5" w:rsidRDefault="002F537E" w:rsidP="00C825D6">
            <w:pPr>
              <w:pStyle w:val="TextTopNum1"/>
              <w:numPr>
                <w:ilvl w:val="0"/>
                <w:numId w:val="40"/>
              </w:numPr>
              <w:spacing w:before="60" w:after="0" w:line="240" w:lineRule="auto"/>
              <w:ind w:left="425" w:hanging="425"/>
              <w:rPr>
                <w:rFonts w:ascii="Verdana" w:hAnsi="Verdana"/>
                <w:sz w:val="16"/>
                <w:lang w:val="en-US"/>
              </w:rPr>
            </w:pPr>
            <w:r w:rsidRPr="00B129A2">
              <w:rPr>
                <w:rFonts w:ascii="Verdana" w:hAnsi="Verdana"/>
                <w:sz w:val="16"/>
                <w:lang w:val="en-US"/>
              </w:rPr>
              <w:t xml:space="preserve">The Board of Directors may adopt procedural provisions in connection with the participation and representation of shareholders in the General Meeting and </w:t>
            </w:r>
            <w:proofErr w:type="gramStart"/>
            <w:r w:rsidRPr="00B129A2">
              <w:rPr>
                <w:rFonts w:ascii="Verdana" w:hAnsi="Verdana"/>
                <w:sz w:val="16"/>
                <w:lang w:val="en-US"/>
              </w:rPr>
              <w:t>in particular regulate</w:t>
            </w:r>
            <w:proofErr w:type="gramEnd"/>
            <w:r w:rsidRPr="00B129A2">
              <w:rPr>
                <w:rFonts w:ascii="Verdana" w:hAnsi="Verdana"/>
                <w:sz w:val="16"/>
                <w:lang w:val="en-US"/>
              </w:rPr>
              <w:t xml:space="preserve"> in </w:t>
            </w:r>
            <w:proofErr w:type="gramStart"/>
            <w:r w:rsidRPr="00B129A2">
              <w:rPr>
                <w:rFonts w:ascii="Verdana" w:hAnsi="Verdana"/>
                <w:sz w:val="16"/>
                <w:lang w:val="en-US"/>
              </w:rPr>
              <w:t>more detail</w:t>
            </w:r>
            <w:proofErr w:type="gramEnd"/>
            <w:r w:rsidRPr="00B129A2">
              <w:rPr>
                <w:rFonts w:ascii="Verdana" w:hAnsi="Verdana"/>
                <w:sz w:val="16"/>
                <w:lang w:val="en-US"/>
              </w:rPr>
              <w:t xml:space="preserve"> the issuing of instructions to the Independent Proxy. It shall make sure that the shareholders may grant powers of attorney and issue instructions to the Independent Proxy by electronic means. In doing so, the Board of Directors is, by derogation of paragraph 2, entitled to waive entirely or in part the requirement of a qualified electronic signature.</w:t>
            </w:r>
          </w:p>
        </w:tc>
      </w:tr>
      <w:tr w:rsidR="002F537E" w:rsidRPr="00937FAC" w14:paraId="3F8FC25D" w14:textId="77777777" w:rsidTr="00846CDA">
        <w:trPr>
          <w:trHeight w:val="647"/>
        </w:trPr>
        <w:tc>
          <w:tcPr>
            <w:tcW w:w="4962" w:type="dxa"/>
          </w:tcPr>
          <w:p w14:paraId="3F601ED5" w14:textId="57980231" w:rsidR="002F537E" w:rsidRPr="00392DF5" w:rsidRDefault="002F537E" w:rsidP="002F537E">
            <w:pPr>
              <w:pStyle w:val="TextTopNum1"/>
              <w:numPr>
                <w:ilvl w:val="0"/>
                <w:numId w:val="5"/>
              </w:numPr>
              <w:spacing w:before="60" w:after="0" w:line="240" w:lineRule="auto"/>
              <w:ind w:left="425" w:hanging="425"/>
              <w:rPr>
                <w:rFonts w:ascii="Verdana" w:hAnsi="Verdana"/>
                <w:sz w:val="16"/>
              </w:rPr>
            </w:pPr>
            <w:r w:rsidRPr="00A1421C">
              <w:rPr>
                <w:rFonts w:ascii="Verdana" w:hAnsi="Verdana"/>
                <w:sz w:val="16"/>
              </w:rPr>
              <w:t>Über die Anerkennung von Vollmachten entscheiden die anwesenden Mitglieder des Verwaltungsrats.</w:t>
            </w:r>
          </w:p>
        </w:tc>
        <w:tc>
          <w:tcPr>
            <w:tcW w:w="596" w:type="dxa"/>
            <w:vMerge/>
          </w:tcPr>
          <w:p w14:paraId="658BB315" w14:textId="77777777" w:rsidR="002F537E" w:rsidRPr="00937FAC" w:rsidRDefault="002F537E" w:rsidP="002F537E">
            <w:pPr>
              <w:spacing w:before="60"/>
              <w:ind w:left="425" w:hanging="425"/>
              <w:jc w:val="both"/>
              <w:rPr>
                <w:rFonts w:ascii="Verdana" w:hAnsi="Verdana"/>
                <w:sz w:val="16"/>
                <w:lang w:val="de-CH"/>
              </w:rPr>
            </w:pPr>
          </w:p>
        </w:tc>
        <w:tc>
          <w:tcPr>
            <w:tcW w:w="5074" w:type="dxa"/>
          </w:tcPr>
          <w:p w14:paraId="3B622770" w14:textId="4C58ABC4" w:rsidR="002F537E" w:rsidRPr="00B129A2" w:rsidRDefault="002F537E" w:rsidP="00C825D6">
            <w:pPr>
              <w:pStyle w:val="TextTopNum1"/>
              <w:numPr>
                <w:ilvl w:val="0"/>
                <w:numId w:val="40"/>
              </w:numPr>
              <w:spacing w:before="60" w:after="0" w:line="240" w:lineRule="auto"/>
              <w:ind w:left="425" w:hanging="425"/>
              <w:rPr>
                <w:rFonts w:ascii="Verdana" w:hAnsi="Verdana"/>
                <w:sz w:val="16"/>
                <w:lang w:val="en-US"/>
              </w:rPr>
            </w:pPr>
            <w:r w:rsidRPr="00B129A2">
              <w:rPr>
                <w:rFonts w:ascii="Verdana" w:hAnsi="Verdana"/>
                <w:sz w:val="16"/>
                <w:lang w:val="en-US"/>
              </w:rPr>
              <w:t>The recognition of proxies at a General Meeting shall be determined by the attending members of the Board of Directors.</w:t>
            </w:r>
          </w:p>
        </w:tc>
      </w:tr>
      <w:tr w:rsidR="002F537E" w:rsidRPr="00937FAC" w14:paraId="779D2DFE" w14:textId="77777777" w:rsidTr="00846CDA">
        <w:tc>
          <w:tcPr>
            <w:tcW w:w="4962" w:type="dxa"/>
          </w:tcPr>
          <w:p w14:paraId="750F76FD" w14:textId="77777777" w:rsidR="002F537E" w:rsidRPr="00736E90" w:rsidRDefault="002F537E" w:rsidP="002F537E">
            <w:pPr>
              <w:jc w:val="center"/>
              <w:rPr>
                <w:rFonts w:ascii="Verdana" w:hAnsi="Verdana"/>
                <w:b/>
                <w:sz w:val="16"/>
                <w:lang w:val="en-US"/>
              </w:rPr>
            </w:pPr>
          </w:p>
          <w:p w14:paraId="6D54CFE7" w14:textId="2CE042F0" w:rsidR="002F537E" w:rsidRPr="00937FAC" w:rsidRDefault="002F537E" w:rsidP="002F537E">
            <w:pPr>
              <w:jc w:val="center"/>
              <w:rPr>
                <w:rFonts w:ascii="Verdana" w:hAnsi="Verdana"/>
                <w:b/>
                <w:sz w:val="16"/>
                <w:lang w:val="de-CH"/>
              </w:rPr>
            </w:pPr>
            <w:r>
              <w:rPr>
                <w:rFonts w:ascii="Verdana" w:hAnsi="Verdana"/>
                <w:b/>
                <w:sz w:val="16"/>
                <w:lang w:val="de-CH"/>
              </w:rPr>
              <w:t>Art. 15</w:t>
            </w:r>
          </w:p>
          <w:p w14:paraId="5A4CB63F" w14:textId="77777777" w:rsidR="002F537E" w:rsidRDefault="002F537E" w:rsidP="002F537E">
            <w:pPr>
              <w:jc w:val="center"/>
              <w:rPr>
                <w:rFonts w:ascii="Verdana" w:hAnsi="Verdana"/>
                <w:b/>
                <w:sz w:val="16"/>
                <w:lang w:val="de-CH"/>
              </w:rPr>
            </w:pPr>
            <w:r>
              <w:rPr>
                <w:rFonts w:ascii="Verdana" w:hAnsi="Verdana"/>
                <w:b/>
                <w:sz w:val="16"/>
                <w:lang w:val="de-CH"/>
              </w:rPr>
              <w:t>Unabhängiger Stimmrechtsvertreter</w:t>
            </w:r>
          </w:p>
          <w:p w14:paraId="69B8C4D4" w14:textId="6B814BFA" w:rsidR="002F537E" w:rsidRPr="00937FAC" w:rsidRDefault="002F537E" w:rsidP="002F537E">
            <w:pPr>
              <w:jc w:val="center"/>
              <w:rPr>
                <w:rFonts w:ascii="Verdana" w:hAnsi="Verdana"/>
                <w:b/>
                <w:sz w:val="16"/>
                <w:lang w:val="de-CH"/>
              </w:rPr>
            </w:pPr>
          </w:p>
        </w:tc>
        <w:tc>
          <w:tcPr>
            <w:tcW w:w="596" w:type="dxa"/>
          </w:tcPr>
          <w:p w14:paraId="7063F937" w14:textId="77777777" w:rsidR="002F537E" w:rsidRPr="00937FAC" w:rsidRDefault="002F537E" w:rsidP="002F537E">
            <w:pPr>
              <w:jc w:val="center"/>
              <w:rPr>
                <w:rFonts w:ascii="Verdana" w:hAnsi="Verdana"/>
                <w:sz w:val="16"/>
                <w:lang w:val="de-CH"/>
              </w:rPr>
            </w:pPr>
          </w:p>
        </w:tc>
        <w:tc>
          <w:tcPr>
            <w:tcW w:w="5074" w:type="dxa"/>
          </w:tcPr>
          <w:p w14:paraId="465CAB04" w14:textId="77777777" w:rsidR="002F537E" w:rsidRPr="00937FAC" w:rsidRDefault="002F537E" w:rsidP="002F537E">
            <w:pPr>
              <w:jc w:val="center"/>
              <w:rPr>
                <w:rFonts w:ascii="Verdana" w:hAnsi="Verdana"/>
                <w:b/>
                <w:sz w:val="16"/>
                <w:lang w:val="en-GB"/>
              </w:rPr>
            </w:pPr>
          </w:p>
          <w:p w14:paraId="6C1991FD" w14:textId="3274BE97" w:rsidR="002F537E" w:rsidRDefault="002F537E" w:rsidP="002F537E">
            <w:pPr>
              <w:jc w:val="center"/>
              <w:rPr>
                <w:rFonts w:ascii="Verdana" w:hAnsi="Verdana"/>
                <w:b/>
                <w:sz w:val="16"/>
                <w:lang w:val="en-GB"/>
              </w:rPr>
            </w:pPr>
            <w:r>
              <w:rPr>
                <w:rFonts w:ascii="Verdana" w:hAnsi="Verdana"/>
                <w:b/>
                <w:sz w:val="16"/>
                <w:lang w:val="en-GB"/>
              </w:rPr>
              <w:t>Art. 15</w:t>
            </w:r>
          </w:p>
          <w:p w14:paraId="2C029970" w14:textId="77777777" w:rsidR="002F537E" w:rsidRPr="00937FAC" w:rsidRDefault="002F537E" w:rsidP="002F537E">
            <w:pPr>
              <w:jc w:val="center"/>
              <w:rPr>
                <w:rFonts w:ascii="Verdana" w:hAnsi="Verdana"/>
                <w:b/>
                <w:sz w:val="16"/>
                <w:lang w:val="en-GB"/>
              </w:rPr>
            </w:pPr>
            <w:r>
              <w:rPr>
                <w:rFonts w:ascii="Verdana" w:hAnsi="Verdana"/>
                <w:b/>
                <w:sz w:val="16"/>
                <w:lang w:val="en-GB"/>
              </w:rPr>
              <w:t>Independent Proxy</w:t>
            </w:r>
          </w:p>
          <w:p w14:paraId="7AC52158" w14:textId="77777777" w:rsidR="002F537E" w:rsidRPr="00937FAC" w:rsidRDefault="002F537E" w:rsidP="002F537E">
            <w:pPr>
              <w:jc w:val="center"/>
              <w:rPr>
                <w:rFonts w:ascii="Verdana" w:hAnsi="Verdana"/>
                <w:b/>
                <w:sz w:val="16"/>
                <w:lang w:val="en-GB"/>
              </w:rPr>
            </w:pPr>
          </w:p>
        </w:tc>
      </w:tr>
      <w:tr w:rsidR="002F537E" w:rsidRPr="00937FAC" w14:paraId="19EBCC54" w14:textId="77777777" w:rsidTr="00846CDA">
        <w:trPr>
          <w:trHeight w:val="587"/>
        </w:trPr>
        <w:tc>
          <w:tcPr>
            <w:tcW w:w="4962" w:type="dxa"/>
          </w:tcPr>
          <w:p w14:paraId="780DD06C" w14:textId="0D395291" w:rsidR="002F537E" w:rsidRPr="005124AA" w:rsidRDefault="002F537E" w:rsidP="00C825D6">
            <w:pPr>
              <w:pStyle w:val="TextTopNum1"/>
              <w:numPr>
                <w:ilvl w:val="0"/>
                <w:numId w:val="27"/>
              </w:numPr>
              <w:spacing w:before="60" w:after="0" w:line="240" w:lineRule="auto"/>
              <w:ind w:left="425" w:hanging="425"/>
              <w:rPr>
                <w:rFonts w:ascii="Verdana" w:hAnsi="Verdana"/>
                <w:sz w:val="16"/>
              </w:rPr>
            </w:pPr>
            <w:r w:rsidRPr="003B6343">
              <w:rPr>
                <w:rFonts w:ascii="Verdana" w:hAnsi="Verdana"/>
                <w:sz w:val="16"/>
              </w:rPr>
              <w:t xml:space="preserve">Der unabhängige Stimmrechtsvertreter wird von der Generalversammlung für eine Dauer von einem Jahr bis zum Abschluss der nächsten ordentlichen Generalversammlung gewählt. </w:t>
            </w:r>
            <w:r w:rsidRPr="00D660B3">
              <w:rPr>
                <w:rFonts w:ascii="Verdana" w:hAnsi="Verdana"/>
                <w:sz w:val="16"/>
              </w:rPr>
              <w:t>Wiederwahl ist zulässig.</w:t>
            </w:r>
          </w:p>
        </w:tc>
        <w:tc>
          <w:tcPr>
            <w:tcW w:w="596" w:type="dxa"/>
            <w:vMerge w:val="restart"/>
          </w:tcPr>
          <w:p w14:paraId="4501A762" w14:textId="77777777" w:rsidR="002F537E" w:rsidRPr="00937FAC" w:rsidRDefault="002F537E" w:rsidP="002F537E">
            <w:pPr>
              <w:pStyle w:val="BodyText2"/>
              <w:spacing w:before="60"/>
              <w:ind w:left="425" w:hanging="425"/>
              <w:rPr>
                <w:sz w:val="16"/>
              </w:rPr>
            </w:pPr>
          </w:p>
        </w:tc>
        <w:tc>
          <w:tcPr>
            <w:tcW w:w="5074" w:type="dxa"/>
          </w:tcPr>
          <w:p w14:paraId="4C19EED2" w14:textId="2A033CA8" w:rsidR="002F537E" w:rsidRPr="005124AA" w:rsidRDefault="002F537E" w:rsidP="00C825D6">
            <w:pPr>
              <w:pStyle w:val="TextTopNum1"/>
              <w:numPr>
                <w:ilvl w:val="0"/>
                <w:numId w:val="41"/>
              </w:numPr>
              <w:spacing w:before="60" w:after="0" w:line="240" w:lineRule="auto"/>
              <w:ind w:left="425" w:hanging="425"/>
              <w:rPr>
                <w:rFonts w:ascii="Verdana" w:hAnsi="Verdana"/>
                <w:sz w:val="16"/>
              </w:rPr>
            </w:pPr>
            <w:r w:rsidRPr="00B129A2">
              <w:rPr>
                <w:rFonts w:ascii="Verdana" w:hAnsi="Verdana"/>
                <w:sz w:val="16"/>
                <w:lang w:val="en-US"/>
              </w:rPr>
              <w:t xml:space="preserve">The Independent Proxy shall be elected by the General Meeting for a term of one year ending with the adjournment of the next Ordinary General Meeting. </w:t>
            </w:r>
            <w:r w:rsidRPr="00B129A2">
              <w:rPr>
                <w:rFonts w:ascii="Verdana" w:hAnsi="Verdana"/>
                <w:sz w:val="16"/>
              </w:rPr>
              <w:t>Re-</w:t>
            </w:r>
            <w:proofErr w:type="spellStart"/>
            <w:r w:rsidRPr="00B129A2">
              <w:rPr>
                <w:rFonts w:ascii="Verdana" w:hAnsi="Verdana"/>
                <w:sz w:val="16"/>
              </w:rPr>
              <w:t>election</w:t>
            </w:r>
            <w:proofErr w:type="spellEnd"/>
            <w:r w:rsidRPr="00B129A2">
              <w:rPr>
                <w:rFonts w:ascii="Verdana" w:hAnsi="Verdana"/>
                <w:sz w:val="16"/>
              </w:rPr>
              <w:t xml:space="preserve"> </w:t>
            </w:r>
            <w:proofErr w:type="spellStart"/>
            <w:r w:rsidRPr="00B129A2">
              <w:rPr>
                <w:rFonts w:ascii="Verdana" w:hAnsi="Verdana"/>
                <w:sz w:val="16"/>
              </w:rPr>
              <w:t>is</w:t>
            </w:r>
            <w:proofErr w:type="spellEnd"/>
            <w:r w:rsidRPr="00B129A2">
              <w:rPr>
                <w:rFonts w:ascii="Verdana" w:hAnsi="Verdana"/>
                <w:sz w:val="16"/>
              </w:rPr>
              <w:t xml:space="preserve"> </w:t>
            </w:r>
            <w:proofErr w:type="spellStart"/>
            <w:r w:rsidRPr="00B129A2">
              <w:rPr>
                <w:rFonts w:ascii="Verdana" w:hAnsi="Verdana"/>
                <w:sz w:val="16"/>
              </w:rPr>
              <w:t>permitted</w:t>
            </w:r>
            <w:proofErr w:type="spellEnd"/>
            <w:r w:rsidRPr="00B129A2">
              <w:rPr>
                <w:rFonts w:ascii="Verdana" w:hAnsi="Verdana"/>
                <w:sz w:val="16"/>
              </w:rPr>
              <w:t>.</w:t>
            </w:r>
          </w:p>
        </w:tc>
      </w:tr>
      <w:tr w:rsidR="002F537E" w:rsidRPr="00937FAC" w14:paraId="5311D23F" w14:textId="77777777" w:rsidTr="00846CDA">
        <w:trPr>
          <w:trHeight w:val="583"/>
        </w:trPr>
        <w:tc>
          <w:tcPr>
            <w:tcW w:w="4962" w:type="dxa"/>
          </w:tcPr>
          <w:p w14:paraId="371A1ABC" w14:textId="62DA4F96" w:rsidR="002F537E" w:rsidRPr="003B6343" w:rsidRDefault="002F537E" w:rsidP="00C825D6">
            <w:pPr>
              <w:pStyle w:val="TextTopNum1"/>
              <w:numPr>
                <w:ilvl w:val="0"/>
                <w:numId w:val="27"/>
              </w:numPr>
              <w:spacing w:before="60" w:after="0" w:line="240" w:lineRule="auto"/>
              <w:ind w:left="425" w:hanging="425"/>
              <w:rPr>
                <w:rFonts w:ascii="Verdana" w:hAnsi="Verdana"/>
                <w:sz w:val="16"/>
              </w:rPr>
            </w:pPr>
            <w:r w:rsidRPr="008D2474">
              <w:rPr>
                <w:rFonts w:ascii="Verdana" w:hAnsi="Verdana"/>
                <w:sz w:val="16"/>
              </w:rPr>
              <w:t xml:space="preserve">Der unabhängige Stimmrechtsvertreter ist verpflichtet, die von ihm vertretenen Stimmrechte weisungsgemäss auszuüben. Hat er keine Weisungen erhalten, </w:t>
            </w:r>
            <w:r w:rsidRPr="008D2474">
              <w:rPr>
                <w:rFonts w:ascii="Verdana" w:hAnsi="Verdana"/>
                <w:sz w:val="16"/>
              </w:rPr>
              <w:lastRenderedPageBreak/>
              <w:t>so enthält er sich der Stimme. Die allgemeine Weisung, bei in der Einberufung bekanntgegebenen oder nicht bekanntgegebenen Anträgen jeweils im Sinne des Antrags des Verwaltungsrats zu stimmen, gilt als gültige Weisung zur Stimmrechtsausübung</w:t>
            </w:r>
            <w:r>
              <w:rPr>
                <w:rFonts w:ascii="Verdana" w:hAnsi="Verdana"/>
                <w:sz w:val="16"/>
              </w:rPr>
              <w:t>.</w:t>
            </w:r>
          </w:p>
        </w:tc>
        <w:tc>
          <w:tcPr>
            <w:tcW w:w="596" w:type="dxa"/>
            <w:vMerge/>
          </w:tcPr>
          <w:p w14:paraId="7F806720" w14:textId="77777777" w:rsidR="002F537E" w:rsidRPr="00937FAC" w:rsidRDefault="002F537E" w:rsidP="002F537E">
            <w:pPr>
              <w:pStyle w:val="BodyText2"/>
              <w:spacing w:before="60"/>
              <w:ind w:left="425" w:hanging="425"/>
              <w:rPr>
                <w:sz w:val="16"/>
              </w:rPr>
            </w:pPr>
          </w:p>
        </w:tc>
        <w:tc>
          <w:tcPr>
            <w:tcW w:w="5074" w:type="dxa"/>
          </w:tcPr>
          <w:p w14:paraId="7C0125BE" w14:textId="4D25847C" w:rsidR="002F537E" w:rsidRPr="00B129A2" w:rsidRDefault="002F537E" w:rsidP="00C825D6">
            <w:pPr>
              <w:pStyle w:val="TextTopNum1"/>
              <w:numPr>
                <w:ilvl w:val="0"/>
                <w:numId w:val="41"/>
              </w:numPr>
              <w:spacing w:before="60" w:after="0" w:line="240" w:lineRule="auto"/>
              <w:ind w:left="425" w:hanging="425"/>
              <w:rPr>
                <w:rFonts w:ascii="Verdana" w:hAnsi="Verdana"/>
                <w:sz w:val="16"/>
                <w:lang w:val="en-US"/>
              </w:rPr>
            </w:pPr>
            <w:r w:rsidRPr="00B129A2">
              <w:rPr>
                <w:rFonts w:ascii="Verdana" w:hAnsi="Verdana"/>
                <w:sz w:val="16"/>
                <w:lang w:val="en-US"/>
              </w:rPr>
              <w:t xml:space="preserve">The Independent Proxy is obliged to exercise the represented voting rights in accordance with instructions. If no instructions have been obtained, the Independent </w:t>
            </w:r>
            <w:r w:rsidRPr="00B129A2">
              <w:rPr>
                <w:rFonts w:ascii="Verdana" w:hAnsi="Verdana"/>
                <w:sz w:val="16"/>
                <w:lang w:val="en-US"/>
              </w:rPr>
              <w:lastRenderedPageBreak/>
              <w:t xml:space="preserve">Proxy shall abstain from voting. The general instruction to vote according to the proposal of the Board of Directors in respect of proposals announced or not announced in the invitation shall be considered </w:t>
            </w:r>
            <w:proofErr w:type="gramStart"/>
            <w:r w:rsidRPr="00B129A2">
              <w:rPr>
                <w:rFonts w:ascii="Verdana" w:hAnsi="Verdana"/>
                <w:sz w:val="16"/>
                <w:lang w:val="en-US"/>
              </w:rPr>
              <w:t>a valid</w:t>
            </w:r>
            <w:proofErr w:type="gramEnd"/>
            <w:r w:rsidRPr="00B129A2">
              <w:rPr>
                <w:rFonts w:ascii="Verdana" w:hAnsi="Verdana"/>
                <w:sz w:val="16"/>
                <w:lang w:val="en-US"/>
              </w:rPr>
              <w:t xml:space="preserve"> instruction to exercise voting rights</w:t>
            </w:r>
            <w:r>
              <w:rPr>
                <w:rFonts w:ascii="Verdana" w:hAnsi="Verdana"/>
                <w:sz w:val="16"/>
                <w:lang w:val="en-US"/>
              </w:rPr>
              <w:t>.</w:t>
            </w:r>
          </w:p>
        </w:tc>
      </w:tr>
      <w:tr w:rsidR="002F537E" w:rsidRPr="00937FAC" w14:paraId="35B6B7EA" w14:textId="77777777" w:rsidTr="00846CDA">
        <w:trPr>
          <w:trHeight w:val="583"/>
        </w:trPr>
        <w:tc>
          <w:tcPr>
            <w:tcW w:w="4962" w:type="dxa"/>
          </w:tcPr>
          <w:p w14:paraId="6DBBAE33" w14:textId="0BC2A2FA" w:rsidR="002F537E" w:rsidRPr="003B6343" w:rsidRDefault="002F537E" w:rsidP="00C825D6">
            <w:pPr>
              <w:pStyle w:val="TextTopNum1"/>
              <w:numPr>
                <w:ilvl w:val="0"/>
                <w:numId w:val="27"/>
              </w:numPr>
              <w:spacing w:before="60" w:after="0" w:line="240" w:lineRule="auto"/>
              <w:ind w:left="425" w:hanging="425"/>
              <w:rPr>
                <w:rFonts w:ascii="Verdana" w:hAnsi="Verdana"/>
                <w:sz w:val="16"/>
              </w:rPr>
            </w:pPr>
            <w:r w:rsidRPr="008D2474">
              <w:rPr>
                <w:rFonts w:ascii="Verdana" w:hAnsi="Verdana"/>
                <w:sz w:val="16"/>
              </w:rPr>
              <w:lastRenderedPageBreak/>
              <w:t>Der unabhängige Stimmrechtsvertreter kann sich an der Generalversammlung durch eine</w:t>
            </w:r>
            <w:r>
              <w:rPr>
                <w:rFonts w:ascii="Verdana" w:hAnsi="Verdana"/>
                <w:sz w:val="16"/>
              </w:rPr>
              <w:t>n Vertreter oder eine</w:t>
            </w:r>
            <w:r w:rsidRPr="008D2474">
              <w:rPr>
                <w:rFonts w:ascii="Verdana" w:hAnsi="Verdana"/>
                <w:sz w:val="16"/>
              </w:rPr>
              <w:t xml:space="preserve"> Hilfsperson vertreten lassen. Er bleibt für die Erfüllung seiner Pflichten vollumfänglich verantwortlich</w:t>
            </w:r>
            <w:r>
              <w:rPr>
                <w:rFonts w:ascii="Verdana" w:hAnsi="Verdana"/>
                <w:sz w:val="16"/>
              </w:rPr>
              <w:t>.</w:t>
            </w:r>
          </w:p>
        </w:tc>
        <w:tc>
          <w:tcPr>
            <w:tcW w:w="596" w:type="dxa"/>
            <w:vMerge/>
          </w:tcPr>
          <w:p w14:paraId="5416C945" w14:textId="77777777" w:rsidR="002F537E" w:rsidRPr="00937FAC" w:rsidRDefault="002F537E" w:rsidP="002F537E">
            <w:pPr>
              <w:pStyle w:val="BodyText2"/>
              <w:spacing w:before="60"/>
              <w:ind w:left="425" w:hanging="425"/>
              <w:rPr>
                <w:sz w:val="16"/>
              </w:rPr>
            </w:pPr>
          </w:p>
        </w:tc>
        <w:tc>
          <w:tcPr>
            <w:tcW w:w="5074" w:type="dxa"/>
          </w:tcPr>
          <w:p w14:paraId="093447E4" w14:textId="6B6EB528" w:rsidR="002F537E" w:rsidRPr="00B129A2" w:rsidRDefault="002F537E" w:rsidP="00C825D6">
            <w:pPr>
              <w:pStyle w:val="TextTopNum1"/>
              <w:numPr>
                <w:ilvl w:val="0"/>
                <w:numId w:val="41"/>
              </w:numPr>
              <w:spacing w:before="60" w:after="0" w:line="240" w:lineRule="auto"/>
              <w:ind w:left="425" w:hanging="425"/>
              <w:rPr>
                <w:rFonts w:ascii="Verdana" w:hAnsi="Verdana"/>
                <w:sz w:val="16"/>
                <w:lang w:val="en-US"/>
              </w:rPr>
            </w:pPr>
            <w:r w:rsidRPr="00B129A2">
              <w:rPr>
                <w:rFonts w:ascii="Verdana" w:hAnsi="Verdana"/>
                <w:sz w:val="16"/>
                <w:lang w:val="en-US"/>
              </w:rPr>
              <w:t>The Independent Proxy may be represented at the General Meeting by a representative or an auxiliary person. The Independent Proxy remains fully responsible for fulfilling its duties</w:t>
            </w:r>
            <w:r>
              <w:rPr>
                <w:rFonts w:ascii="Verdana" w:hAnsi="Verdana"/>
                <w:sz w:val="16"/>
                <w:lang w:val="en-US"/>
              </w:rPr>
              <w:t>.</w:t>
            </w:r>
          </w:p>
        </w:tc>
      </w:tr>
      <w:tr w:rsidR="002F537E" w:rsidRPr="00937FAC" w14:paraId="25D6F655" w14:textId="77777777" w:rsidTr="00846CDA">
        <w:trPr>
          <w:trHeight w:val="583"/>
        </w:trPr>
        <w:tc>
          <w:tcPr>
            <w:tcW w:w="4962" w:type="dxa"/>
          </w:tcPr>
          <w:p w14:paraId="3DBA6DCA" w14:textId="61D0DE5F" w:rsidR="002F537E" w:rsidRPr="005124AA" w:rsidRDefault="002F537E" w:rsidP="00C825D6">
            <w:pPr>
              <w:pStyle w:val="TextTopNum1"/>
              <w:numPr>
                <w:ilvl w:val="0"/>
                <w:numId w:val="27"/>
              </w:numPr>
              <w:spacing w:before="60" w:after="0" w:line="240" w:lineRule="auto"/>
              <w:ind w:left="425" w:hanging="425"/>
              <w:rPr>
                <w:rFonts w:ascii="Verdana" w:hAnsi="Verdana"/>
                <w:sz w:val="16"/>
              </w:rPr>
            </w:pPr>
            <w:r w:rsidRPr="00736B2C">
              <w:rPr>
                <w:rFonts w:ascii="Verdana" w:hAnsi="Verdana"/>
                <w:sz w:val="16"/>
              </w:rPr>
              <w:t>Fällt der unabhängige Stimmrechtsvertreter aus, stellt der Verwaltungsrat ihn nach den gesetzlichen Vorschriften in seiner Funktion ein, oder hat die Gesellschaft aus anderen Gründen keinen handlungsfähigen Stimmrechtsvertreter, so ernennt der Verwaltungsrat einen unabhängigen Stimmrechtsvertreter für die nächste Generalversammlung. Bisher abgegebene Vollmachten und Stimmrechtsinstruktionen behalten ihre Gültigkeit für den neuen unabhängigen Stimmrechtsvertreter, sofern ein Aktionär nicht ausdrücklich etwas anderes anordnet.</w:t>
            </w:r>
            <w:r w:rsidRPr="00AE6EB2">
              <w:t xml:space="preserve"> </w:t>
            </w:r>
          </w:p>
        </w:tc>
        <w:tc>
          <w:tcPr>
            <w:tcW w:w="596" w:type="dxa"/>
            <w:vMerge/>
          </w:tcPr>
          <w:p w14:paraId="3412B9CC" w14:textId="77777777" w:rsidR="002F537E" w:rsidRPr="00937FAC" w:rsidRDefault="002F537E" w:rsidP="002F537E">
            <w:pPr>
              <w:pStyle w:val="BodyText2"/>
              <w:spacing w:before="60"/>
              <w:ind w:left="425" w:hanging="425"/>
              <w:rPr>
                <w:sz w:val="16"/>
              </w:rPr>
            </w:pPr>
          </w:p>
        </w:tc>
        <w:tc>
          <w:tcPr>
            <w:tcW w:w="5074" w:type="dxa"/>
          </w:tcPr>
          <w:p w14:paraId="4D6E91AA" w14:textId="45D1E253" w:rsidR="002F537E" w:rsidRPr="00B129A2" w:rsidRDefault="002F537E" w:rsidP="00C825D6">
            <w:pPr>
              <w:pStyle w:val="TextTopNum1"/>
              <w:numPr>
                <w:ilvl w:val="0"/>
                <w:numId w:val="41"/>
              </w:numPr>
              <w:spacing w:before="60" w:after="0" w:line="240" w:lineRule="auto"/>
              <w:ind w:left="425" w:hanging="425"/>
              <w:rPr>
                <w:rFonts w:ascii="Verdana" w:hAnsi="Verdana"/>
                <w:sz w:val="16"/>
                <w:lang w:val="en-US"/>
              </w:rPr>
            </w:pPr>
            <w:r w:rsidRPr="00B129A2">
              <w:rPr>
                <w:rFonts w:ascii="Verdana" w:hAnsi="Verdana"/>
                <w:sz w:val="16"/>
                <w:lang w:val="en-US"/>
              </w:rPr>
              <w:t>If the Independent Proxy is not able to continue to hold office, if the Board of Directors lawfully suspends the Independent Proxy from its office, or if the Company does not have an Independent Proxy capable of acting for other reasons, then the Board of Directors shall appoint an Independent Proxy for the next General Meeting. Proxies and voting instructions that were already issued remain valid for the new Independent Proxy as long as a shareholder does not explicitly direct otherwise.</w:t>
            </w:r>
          </w:p>
        </w:tc>
      </w:tr>
      <w:tr w:rsidR="002F537E" w:rsidRPr="00937FAC" w14:paraId="31A6190F" w14:textId="77777777" w:rsidTr="00846CDA">
        <w:trPr>
          <w:trHeight w:val="583"/>
        </w:trPr>
        <w:tc>
          <w:tcPr>
            <w:tcW w:w="4962" w:type="dxa"/>
          </w:tcPr>
          <w:p w14:paraId="42B4F0F9" w14:textId="04FFFA4B" w:rsidR="002F537E" w:rsidRPr="003B6343" w:rsidRDefault="002F537E" w:rsidP="00C825D6">
            <w:pPr>
              <w:pStyle w:val="TextTopNum1"/>
              <w:numPr>
                <w:ilvl w:val="0"/>
                <w:numId w:val="27"/>
              </w:numPr>
              <w:spacing w:before="60" w:after="0" w:line="240" w:lineRule="auto"/>
              <w:ind w:left="425" w:hanging="425"/>
              <w:rPr>
                <w:rFonts w:ascii="Verdana" w:hAnsi="Verdana"/>
                <w:sz w:val="16"/>
              </w:rPr>
            </w:pPr>
            <w:r w:rsidRPr="003B6343">
              <w:rPr>
                <w:rFonts w:ascii="Verdana" w:hAnsi="Verdana"/>
                <w:sz w:val="16"/>
              </w:rPr>
              <w:t>Der Verwaltungsrat stellt sicher, dass Aktionäre dem unabhängigen Stimmrechtsvertreter auch elektronisch Vollmachten und Weisungen erteilen können</w:t>
            </w:r>
            <w:r>
              <w:rPr>
                <w:rFonts w:ascii="Verdana" w:hAnsi="Verdana"/>
                <w:sz w:val="16"/>
              </w:rPr>
              <w:t>, wobei er ermächtigt ist, vom Erfordernis der qualifizierten elektronischen Signatur ganz oder teilweise abzusehen</w:t>
            </w:r>
            <w:r w:rsidRPr="003B6343">
              <w:rPr>
                <w:rFonts w:ascii="Verdana" w:hAnsi="Verdana"/>
                <w:sz w:val="16"/>
              </w:rPr>
              <w:t>. Er kann die Einzelheiten regeln</w:t>
            </w:r>
          </w:p>
        </w:tc>
        <w:tc>
          <w:tcPr>
            <w:tcW w:w="596" w:type="dxa"/>
            <w:vMerge/>
          </w:tcPr>
          <w:p w14:paraId="328D4EFC" w14:textId="77777777" w:rsidR="002F537E" w:rsidRPr="00937FAC" w:rsidRDefault="002F537E" w:rsidP="002F537E">
            <w:pPr>
              <w:pStyle w:val="BodyText2"/>
              <w:spacing w:before="60"/>
              <w:ind w:left="425" w:hanging="425"/>
              <w:rPr>
                <w:sz w:val="16"/>
              </w:rPr>
            </w:pPr>
          </w:p>
        </w:tc>
        <w:tc>
          <w:tcPr>
            <w:tcW w:w="5074" w:type="dxa"/>
          </w:tcPr>
          <w:p w14:paraId="721BDACF" w14:textId="687218CE" w:rsidR="002F537E" w:rsidRPr="00B129A2" w:rsidRDefault="002F537E" w:rsidP="00C825D6">
            <w:pPr>
              <w:pStyle w:val="TextTopNum1"/>
              <w:numPr>
                <w:ilvl w:val="0"/>
                <w:numId w:val="41"/>
              </w:numPr>
              <w:spacing w:before="60" w:after="0" w:line="240" w:lineRule="auto"/>
              <w:ind w:left="425" w:hanging="425"/>
              <w:rPr>
                <w:rFonts w:ascii="Verdana" w:hAnsi="Verdana"/>
                <w:sz w:val="16"/>
                <w:lang w:val="en-US"/>
              </w:rPr>
            </w:pPr>
            <w:r w:rsidRPr="00B129A2">
              <w:rPr>
                <w:rFonts w:ascii="Verdana" w:hAnsi="Verdana"/>
                <w:sz w:val="16"/>
                <w:lang w:val="en-US"/>
              </w:rPr>
              <w:t xml:space="preserve">The Board of Directors shall </w:t>
            </w:r>
            <w:proofErr w:type="gramStart"/>
            <w:r w:rsidRPr="00B129A2">
              <w:rPr>
                <w:rFonts w:ascii="Verdana" w:hAnsi="Verdana"/>
                <w:sz w:val="16"/>
                <w:lang w:val="en-US"/>
              </w:rPr>
              <w:t>make arrangements</w:t>
            </w:r>
            <w:proofErr w:type="gramEnd"/>
            <w:r w:rsidRPr="00B129A2">
              <w:rPr>
                <w:rFonts w:ascii="Verdana" w:hAnsi="Verdana"/>
                <w:sz w:val="16"/>
                <w:lang w:val="en-US"/>
              </w:rPr>
              <w:t xml:space="preserve"> for shareholders to have the possibility of issuing authorizations and instructions to the Independent Proxy by electronic </w:t>
            </w:r>
            <w:proofErr w:type="gramStart"/>
            <w:r w:rsidRPr="00B129A2">
              <w:rPr>
                <w:rFonts w:ascii="Verdana" w:hAnsi="Verdana"/>
                <w:sz w:val="16"/>
                <w:lang w:val="en-US"/>
              </w:rPr>
              <w:t>means</w:t>
            </w:r>
            <w:proofErr w:type="gramEnd"/>
            <w:r w:rsidRPr="00B129A2">
              <w:rPr>
                <w:rFonts w:ascii="Verdana" w:hAnsi="Verdana"/>
                <w:sz w:val="16"/>
                <w:lang w:val="en-US"/>
              </w:rPr>
              <w:t xml:space="preserve"> and it has the power to deviate from the requirement of the qualified electronic signature. </w:t>
            </w:r>
            <w:r w:rsidRPr="00B129A2">
              <w:rPr>
                <w:rFonts w:ascii="Verdana" w:hAnsi="Verdana"/>
                <w:sz w:val="16"/>
              </w:rPr>
              <w:t xml:space="preserve">The Board </w:t>
            </w:r>
            <w:proofErr w:type="spellStart"/>
            <w:r w:rsidRPr="00B129A2">
              <w:rPr>
                <w:rFonts w:ascii="Verdana" w:hAnsi="Verdana"/>
                <w:sz w:val="16"/>
              </w:rPr>
              <w:t>may</w:t>
            </w:r>
            <w:proofErr w:type="spellEnd"/>
            <w:r w:rsidRPr="00B129A2">
              <w:rPr>
                <w:rFonts w:ascii="Verdana" w:hAnsi="Verdana"/>
                <w:sz w:val="16"/>
              </w:rPr>
              <w:t xml:space="preserve"> </w:t>
            </w:r>
            <w:proofErr w:type="spellStart"/>
            <w:r w:rsidRPr="00B129A2">
              <w:rPr>
                <w:rFonts w:ascii="Verdana" w:hAnsi="Verdana"/>
                <w:sz w:val="16"/>
              </w:rPr>
              <w:t>determine</w:t>
            </w:r>
            <w:proofErr w:type="spellEnd"/>
            <w:r w:rsidRPr="00B129A2">
              <w:rPr>
                <w:rFonts w:ascii="Verdana" w:hAnsi="Verdana"/>
                <w:sz w:val="16"/>
              </w:rPr>
              <w:t xml:space="preserve"> </w:t>
            </w:r>
            <w:proofErr w:type="spellStart"/>
            <w:r w:rsidRPr="00B129A2">
              <w:rPr>
                <w:rFonts w:ascii="Verdana" w:hAnsi="Verdana"/>
                <w:sz w:val="16"/>
              </w:rPr>
              <w:t>the</w:t>
            </w:r>
            <w:proofErr w:type="spellEnd"/>
            <w:r w:rsidRPr="00B129A2">
              <w:rPr>
                <w:rFonts w:ascii="Verdana" w:hAnsi="Verdana"/>
                <w:sz w:val="16"/>
              </w:rPr>
              <w:t xml:space="preserve"> </w:t>
            </w:r>
            <w:proofErr w:type="spellStart"/>
            <w:r w:rsidRPr="00B129A2">
              <w:rPr>
                <w:rFonts w:ascii="Verdana" w:hAnsi="Verdana"/>
                <w:sz w:val="16"/>
              </w:rPr>
              <w:t>details</w:t>
            </w:r>
            <w:proofErr w:type="spellEnd"/>
            <w:r w:rsidRPr="00B129A2">
              <w:rPr>
                <w:rFonts w:ascii="Verdana" w:hAnsi="Verdana"/>
                <w:sz w:val="16"/>
              </w:rPr>
              <w:t>.</w:t>
            </w:r>
          </w:p>
        </w:tc>
      </w:tr>
      <w:tr w:rsidR="002F537E" w:rsidRPr="00937FAC" w14:paraId="38525F6A" w14:textId="77777777" w:rsidTr="00846CDA">
        <w:tc>
          <w:tcPr>
            <w:tcW w:w="4962" w:type="dxa"/>
          </w:tcPr>
          <w:p w14:paraId="35781FE9" w14:textId="77777777" w:rsidR="002F537E" w:rsidRPr="00A1421C" w:rsidRDefault="002F537E" w:rsidP="002F537E">
            <w:pPr>
              <w:rPr>
                <w:rFonts w:ascii="Verdana" w:hAnsi="Verdana"/>
                <w:b/>
                <w:sz w:val="16"/>
                <w:lang w:val="en-US"/>
              </w:rPr>
            </w:pPr>
          </w:p>
          <w:p w14:paraId="57BB35A9" w14:textId="43C072AF" w:rsidR="002F537E" w:rsidRPr="00937FAC" w:rsidRDefault="002F537E" w:rsidP="002F537E">
            <w:pPr>
              <w:tabs>
                <w:tab w:val="center" w:pos="3507"/>
                <w:tab w:val="right" w:pos="7014"/>
              </w:tabs>
              <w:jc w:val="center"/>
              <w:rPr>
                <w:rFonts w:ascii="Verdana" w:hAnsi="Verdana"/>
                <w:b/>
                <w:sz w:val="16"/>
                <w:lang w:val="de-CH"/>
              </w:rPr>
            </w:pPr>
            <w:r>
              <w:rPr>
                <w:rFonts w:ascii="Verdana" w:hAnsi="Verdana"/>
                <w:b/>
                <w:sz w:val="16"/>
                <w:lang w:val="de-CH"/>
              </w:rPr>
              <w:t>Art. 16</w:t>
            </w:r>
          </w:p>
          <w:p w14:paraId="4406779A" w14:textId="77777777" w:rsidR="002F537E" w:rsidRPr="00937FAC" w:rsidRDefault="002F537E" w:rsidP="002F537E">
            <w:pPr>
              <w:jc w:val="center"/>
              <w:rPr>
                <w:rFonts w:ascii="Verdana" w:hAnsi="Verdana"/>
                <w:b/>
                <w:sz w:val="16"/>
                <w:lang w:val="de-CH"/>
              </w:rPr>
            </w:pPr>
            <w:r>
              <w:rPr>
                <w:rFonts w:ascii="Verdana" w:hAnsi="Verdana"/>
                <w:b/>
                <w:sz w:val="16"/>
                <w:lang w:val="de-CH"/>
              </w:rPr>
              <w:t>Abstimmungen und Wahlen</w:t>
            </w:r>
          </w:p>
        </w:tc>
        <w:tc>
          <w:tcPr>
            <w:tcW w:w="596" w:type="dxa"/>
          </w:tcPr>
          <w:p w14:paraId="4727154E" w14:textId="77777777" w:rsidR="002F537E" w:rsidRPr="00937FAC" w:rsidRDefault="002F537E" w:rsidP="002F537E">
            <w:pPr>
              <w:jc w:val="center"/>
              <w:rPr>
                <w:rFonts w:ascii="Verdana" w:hAnsi="Verdana"/>
                <w:sz w:val="16"/>
                <w:lang w:val="de-CH"/>
              </w:rPr>
            </w:pPr>
          </w:p>
        </w:tc>
        <w:tc>
          <w:tcPr>
            <w:tcW w:w="5074" w:type="dxa"/>
          </w:tcPr>
          <w:p w14:paraId="0316ED81" w14:textId="77777777" w:rsidR="002F537E" w:rsidRPr="00937FAC" w:rsidRDefault="002F537E" w:rsidP="002F537E">
            <w:pPr>
              <w:jc w:val="center"/>
              <w:rPr>
                <w:rFonts w:ascii="Verdana" w:hAnsi="Verdana"/>
                <w:b/>
                <w:sz w:val="16"/>
                <w:lang w:val="en-GB"/>
              </w:rPr>
            </w:pPr>
          </w:p>
          <w:p w14:paraId="78236C1D" w14:textId="48FC7685" w:rsidR="002F537E" w:rsidRDefault="002F537E" w:rsidP="002F537E">
            <w:pPr>
              <w:jc w:val="center"/>
              <w:rPr>
                <w:rFonts w:ascii="Verdana" w:hAnsi="Verdana"/>
                <w:b/>
                <w:sz w:val="16"/>
                <w:lang w:val="en-GB"/>
              </w:rPr>
            </w:pPr>
            <w:r>
              <w:rPr>
                <w:rFonts w:ascii="Verdana" w:hAnsi="Verdana"/>
                <w:b/>
                <w:sz w:val="16"/>
                <w:lang w:val="en-GB"/>
              </w:rPr>
              <w:t>Art. 16</w:t>
            </w:r>
          </w:p>
          <w:p w14:paraId="01F79AD0" w14:textId="77777777" w:rsidR="002F537E" w:rsidRPr="00937FAC" w:rsidRDefault="002F537E" w:rsidP="002F537E">
            <w:pPr>
              <w:jc w:val="center"/>
              <w:rPr>
                <w:rFonts w:ascii="Verdana" w:hAnsi="Verdana"/>
                <w:b/>
                <w:sz w:val="16"/>
                <w:lang w:val="en-GB"/>
              </w:rPr>
            </w:pPr>
            <w:r>
              <w:rPr>
                <w:rFonts w:ascii="Verdana" w:hAnsi="Verdana"/>
                <w:b/>
                <w:sz w:val="16"/>
                <w:lang w:val="en-GB"/>
              </w:rPr>
              <w:t>Voting and elections</w:t>
            </w:r>
          </w:p>
          <w:p w14:paraId="12FABDDC" w14:textId="77777777" w:rsidR="002F537E" w:rsidRPr="00937FAC" w:rsidRDefault="002F537E" w:rsidP="002F537E">
            <w:pPr>
              <w:jc w:val="center"/>
              <w:rPr>
                <w:rFonts w:ascii="Verdana" w:hAnsi="Verdana"/>
                <w:b/>
                <w:sz w:val="16"/>
                <w:lang w:val="en-GB"/>
              </w:rPr>
            </w:pPr>
          </w:p>
        </w:tc>
      </w:tr>
      <w:tr w:rsidR="002F537E" w:rsidRPr="00937FAC" w14:paraId="26270C87" w14:textId="77777777" w:rsidTr="00846CDA">
        <w:trPr>
          <w:trHeight w:val="624"/>
        </w:trPr>
        <w:tc>
          <w:tcPr>
            <w:tcW w:w="4962" w:type="dxa"/>
          </w:tcPr>
          <w:p w14:paraId="4E201976" w14:textId="035B59EA" w:rsidR="002F537E" w:rsidRPr="004F34E5" w:rsidRDefault="002F537E" w:rsidP="002F537E">
            <w:pPr>
              <w:pStyle w:val="TextTopNum1"/>
              <w:numPr>
                <w:ilvl w:val="0"/>
                <w:numId w:val="9"/>
              </w:numPr>
              <w:spacing w:before="60" w:after="0" w:line="240" w:lineRule="auto"/>
              <w:ind w:left="425" w:hanging="425"/>
              <w:rPr>
                <w:rFonts w:ascii="Verdana" w:hAnsi="Verdana"/>
                <w:sz w:val="16"/>
              </w:rPr>
            </w:pPr>
            <w:r w:rsidRPr="00A1421C">
              <w:rPr>
                <w:rFonts w:ascii="Verdana" w:hAnsi="Verdana"/>
                <w:sz w:val="16"/>
              </w:rPr>
              <w:t>Die Generalversammlung fasst ihre Beschlüsse und vollzieht ihre Wahlen, soweit nicht eine zwingende Bestimmung des Gesetzes oder der Statuten etwas anderes bestimmt, ohne Rücksicht auf die Zahl der anwesenden Aktionäre und vertretenen Aktien, mit der einfachen Mehrheit</w:t>
            </w:r>
            <w:r>
              <w:rPr>
                <w:rFonts w:ascii="Verdana" w:hAnsi="Verdana"/>
                <w:sz w:val="16"/>
              </w:rPr>
              <w:t xml:space="preserve"> </w:t>
            </w:r>
            <w:r w:rsidRPr="00A1421C">
              <w:rPr>
                <w:rFonts w:ascii="Verdana" w:hAnsi="Verdana"/>
                <w:sz w:val="16"/>
              </w:rPr>
              <w:t>der abgegebenen Aktienstimmen. Stimmenthaltungen und ungültige Stimmen gelten nicht als abgegebene Stimmen.</w:t>
            </w:r>
          </w:p>
        </w:tc>
        <w:tc>
          <w:tcPr>
            <w:tcW w:w="596" w:type="dxa"/>
            <w:vMerge w:val="restart"/>
          </w:tcPr>
          <w:p w14:paraId="407DB0F7" w14:textId="77777777" w:rsidR="002F537E" w:rsidRPr="00937FAC" w:rsidRDefault="002F537E" w:rsidP="002F537E">
            <w:pPr>
              <w:pStyle w:val="BodyText2"/>
              <w:spacing w:before="60"/>
              <w:ind w:left="425" w:hanging="425"/>
              <w:rPr>
                <w:sz w:val="16"/>
              </w:rPr>
            </w:pPr>
          </w:p>
        </w:tc>
        <w:tc>
          <w:tcPr>
            <w:tcW w:w="5074" w:type="dxa"/>
          </w:tcPr>
          <w:p w14:paraId="01EE184E" w14:textId="1B3D19EE" w:rsidR="002F537E" w:rsidRPr="004F34E5" w:rsidRDefault="002F537E" w:rsidP="00C825D6">
            <w:pPr>
              <w:pStyle w:val="TextTopNum1"/>
              <w:numPr>
                <w:ilvl w:val="0"/>
                <w:numId w:val="42"/>
              </w:numPr>
              <w:spacing w:before="60" w:after="0" w:line="240" w:lineRule="auto"/>
              <w:ind w:left="425" w:hanging="425"/>
              <w:rPr>
                <w:rFonts w:ascii="Verdana" w:hAnsi="Verdana"/>
                <w:sz w:val="16"/>
                <w:lang w:val="en-US"/>
              </w:rPr>
            </w:pPr>
            <w:r w:rsidRPr="00B129A2">
              <w:rPr>
                <w:rFonts w:ascii="Verdana" w:hAnsi="Verdana"/>
                <w:sz w:val="16"/>
                <w:lang w:val="en-US"/>
              </w:rPr>
              <w:t xml:space="preserve">Unless otherwise stipulated by law or by these Articles of Association, the General Meeting shall pass resolutions and conduct elections by a simple majority of share votes cast, regardless of the number of shareholders present or the number of shares represented. Abstentions and invalid votes shall not be counted as votes cast. </w:t>
            </w:r>
          </w:p>
        </w:tc>
      </w:tr>
      <w:tr w:rsidR="002F537E" w:rsidRPr="00937FAC" w14:paraId="228C4E7C" w14:textId="77777777" w:rsidTr="00846CDA">
        <w:trPr>
          <w:trHeight w:val="170"/>
        </w:trPr>
        <w:tc>
          <w:tcPr>
            <w:tcW w:w="4962" w:type="dxa"/>
          </w:tcPr>
          <w:p w14:paraId="21707468" w14:textId="31C51FDB" w:rsidR="002F537E" w:rsidRPr="004F34E5" w:rsidRDefault="002F537E" w:rsidP="002F537E">
            <w:pPr>
              <w:pStyle w:val="TextTopNum1"/>
              <w:numPr>
                <w:ilvl w:val="0"/>
                <w:numId w:val="9"/>
              </w:numPr>
              <w:spacing w:before="60" w:after="0" w:line="240" w:lineRule="auto"/>
              <w:ind w:left="425" w:hanging="425"/>
              <w:rPr>
                <w:rFonts w:ascii="Verdana" w:hAnsi="Verdana"/>
                <w:sz w:val="16"/>
              </w:rPr>
            </w:pPr>
            <w:r w:rsidRPr="00FC3DAD">
              <w:rPr>
                <w:rFonts w:ascii="Verdana" w:hAnsi="Verdana"/>
                <w:sz w:val="16"/>
              </w:rPr>
              <w:t>Der Vorsitzende bestimmt das Abstimmungsverfahren.</w:t>
            </w:r>
            <w:r w:rsidRPr="003B6343">
              <w:rPr>
                <w:rFonts w:ascii="Verdana" w:hAnsi="Verdana"/>
                <w:sz w:val="16"/>
              </w:rPr>
              <w:t xml:space="preserve"> </w:t>
            </w:r>
          </w:p>
        </w:tc>
        <w:tc>
          <w:tcPr>
            <w:tcW w:w="596" w:type="dxa"/>
            <w:vMerge/>
          </w:tcPr>
          <w:p w14:paraId="722E7BCA" w14:textId="77777777" w:rsidR="002F537E" w:rsidRPr="00937FAC" w:rsidRDefault="002F537E" w:rsidP="002F537E">
            <w:pPr>
              <w:pStyle w:val="BodyText2"/>
              <w:spacing w:before="60"/>
              <w:ind w:left="425" w:hanging="425"/>
              <w:rPr>
                <w:sz w:val="16"/>
              </w:rPr>
            </w:pPr>
          </w:p>
        </w:tc>
        <w:tc>
          <w:tcPr>
            <w:tcW w:w="5074" w:type="dxa"/>
          </w:tcPr>
          <w:p w14:paraId="7C4FF58E" w14:textId="1B6B74FA" w:rsidR="002F537E" w:rsidRPr="004F34E5" w:rsidRDefault="002F537E" w:rsidP="00C825D6">
            <w:pPr>
              <w:pStyle w:val="TextTopNum1"/>
              <w:numPr>
                <w:ilvl w:val="0"/>
                <w:numId w:val="42"/>
              </w:numPr>
              <w:spacing w:before="60" w:after="0" w:line="240" w:lineRule="auto"/>
              <w:ind w:left="425" w:hanging="425"/>
              <w:rPr>
                <w:rFonts w:ascii="Verdana" w:hAnsi="Verdana"/>
                <w:sz w:val="16"/>
                <w:lang w:val="en-US"/>
              </w:rPr>
            </w:pPr>
            <w:r w:rsidRPr="00B129A2">
              <w:rPr>
                <w:rFonts w:ascii="Verdana" w:hAnsi="Verdana"/>
                <w:sz w:val="16"/>
                <w:lang w:val="en-US"/>
              </w:rPr>
              <w:t>The chairman of the meeting decides on the voting procedure.</w:t>
            </w:r>
          </w:p>
        </w:tc>
      </w:tr>
      <w:tr w:rsidR="002F537E" w:rsidRPr="00937FAC" w14:paraId="2F77019A" w14:textId="77777777" w:rsidTr="00846CDA">
        <w:trPr>
          <w:trHeight w:val="624"/>
        </w:trPr>
        <w:tc>
          <w:tcPr>
            <w:tcW w:w="4962" w:type="dxa"/>
          </w:tcPr>
          <w:p w14:paraId="7BABB54C" w14:textId="1653A8B7" w:rsidR="002F537E" w:rsidRPr="004F34E5" w:rsidRDefault="002F537E" w:rsidP="002F537E">
            <w:pPr>
              <w:pStyle w:val="TextTopNum1"/>
              <w:numPr>
                <w:ilvl w:val="0"/>
                <w:numId w:val="9"/>
              </w:numPr>
              <w:spacing w:before="60" w:after="0" w:line="240" w:lineRule="auto"/>
              <w:ind w:left="425" w:hanging="425"/>
              <w:rPr>
                <w:rFonts w:ascii="Verdana" w:hAnsi="Verdana"/>
                <w:sz w:val="16"/>
              </w:rPr>
            </w:pPr>
            <w:r w:rsidRPr="00FC3DAD">
              <w:rPr>
                <w:rFonts w:ascii="Verdana" w:hAnsi="Verdana"/>
                <w:sz w:val="16"/>
              </w:rPr>
              <w:t>Namentlich kann eine Abstimmung durch elektronische oder schriftliche Stimmabgabe oder durch Handzeichen erfolgen. Um die Stimmenzählung zu beschleunigen, kann der Vorsitzende im Falle von schriftlichen Abstimmungen festlegen, dass nur die Stimmen der Aktionäre gezählt werden, die sich der Stimme enthalten oder eine Nein-Stimme abgeben, und dass die übrigen zum Zeitpunkt der Abstimmung an der Generalversammlung vertretenen Aktien als Ja-Stimmen gezählt werden.</w:t>
            </w:r>
          </w:p>
        </w:tc>
        <w:tc>
          <w:tcPr>
            <w:tcW w:w="596" w:type="dxa"/>
            <w:vMerge/>
          </w:tcPr>
          <w:p w14:paraId="0557250A" w14:textId="77777777" w:rsidR="002F537E" w:rsidRPr="00937FAC" w:rsidRDefault="002F537E" w:rsidP="002F537E">
            <w:pPr>
              <w:pStyle w:val="BodyText2"/>
              <w:spacing w:before="60"/>
              <w:ind w:left="425" w:hanging="425"/>
              <w:rPr>
                <w:sz w:val="16"/>
              </w:rPr>
            </w:pPr>
          </w:p>
        </w:tc>
        <w:tc>
          <w:tcPr>
            <w:tcW w:w="5074" w:type="dxa"/>
          </w:tcPr>
          <w:p w14:paraId="7B34B0FE" w14:textId="213F10EC" w:rsidR="002F537E" w:rsidRPr="004F34E5" w:rsidRDefault="002F537E" w:rsidP="00C825D6">
            <w:pPr>
              <w:pStyle w:val="TextTopNum1"/>
              <w:numPr>
                <w:ilvl w:val="0"/>
                <w:numId w:val="42"/>
              </w:numPr>
              <w:spacing w:before="60" w:after="0" w:line="240" w:lineRule="auto"/>
              <w:ind w:left="425" w:hanging="425"/>
              <w:rPr>
                <w:rFonts w:ascii="Verdana" w:hAnsi="Verdana"/>
                <w:sz w:val="16"/>
                <w:lang w:val="en-US"/>
              </w:rPr>
            </w:pPr>
            <w:proofErr w:type="gramStart"/>
            <w:r w:rsidRPr="00B129A2">
              <w:rPr>
                <w:rFonts w:ascii="Verdana" w:hAnsi="Verdana"/>
                <w:sz w:val="16"/>
                <w:lang w:val="en-US"/>
              </w:rPr>
              <w:t>In particular, a</w:t>
            </w:r>
            <w:proofErr w:type="gramEnd"/>
            <w:r w:rsidRPr="00B129A2">
              <w:rPr>
                <w:rFonts w:ascii="Verdana" w:hAnsi="Verdana"/>
                <w:sz w:val="16"/>
                <w:lang w:val="en-US"/>
              </w:rPr>
              <w:t xml:space="preserve"> vote may be conducted by electronic or written ballot or by a show of hands. In the case of written ballots, the chairman of the meeting may rule that only the ballots of those shareholders shall be collected who chose to abstain or to cast a negative vote, and that all other shares represented at the General Meeting at the time of the vote shall be counted in </w:t>
            </w:r>
            <w:proofErr w:type="spellStart"/>
            <w:r w:rsidRPr="00B129A2">
              <w:rPr>
                <w:rFonts w:ascii="Verdana" w:hAnsi="Verdana"/>
                <w:sz w:val="16"/>
                <w:lang w:val="en-US"/>
              </w:rPr>
              <w:t>favour</w:t>
            </w:r>
            <w:proofErr w:type="spellEnd"/>
            <w:r w:rsidRPr="00B129A2">
              <w:rPr>
                <w:rFonts w:ascii="Verdana" w:hAnsi="Verdana"/>
                <w:sz w:val="16"/>
                <w:lang w:val="en-US"/>
              </w:rPr>
              <w:t>, in order to expedite the counting of the votes.</w:t>
            </w:r>
          </w:p>
        </w:tc>
      </w:tr>
      <w:tr w:rsidR="002F537E" w:rsidRPr="00937FAC" w14:paraId="67F2073D" w14:textId="77777777" w:rsidTr="00846CDA">
        <w:trPr>
          <w:trHeight w:val="624"/>
        </w:trPr>
        <w:tc>
          <w:tcPr>
            <w:tcW w:w="4962" w:type="dxa"/>
          </w:tcPr>
          <w:p w14:paraId="03853835" w14:textId="46A1B444" w:rsidR="002F537E" w:rsidRPr="004F34E5" w:rsidRDefault="002F537E" w:rsidP="002F537E">
            <w:pPr>
              <w:pStyle w:val="TextTopNum1"/>
              <w:numPr>
                <w:ilvl w:val="0"/>
                <w:numId w:val="9"/>
              </w:numPr>
              <w:spacing w:before="60" w:after="0" w:line="240" w:lineRule="auto"/>
              <w:ind w:left="425" w:hanging="425"/>
              <w:rPr>
                <w:rFonts w:ascii="Verdana" w:hAnsi="Verdana"/>
                <w:sz w:val="16"/>
              </w:rPr>
            </w:pPr>
            <w:r w:rsidRPr="003B6343">
              <w:rPr>
                <w:rFonts w:ascii="Verdana" w:hAnsi="Verdana"/>
                <w:sz w:val="16"/>
              </w:rPr>
              <w:t xml:space="preserve">Der Vorsitzende kann eine offene oder elektronische Wahl oder Abstimmung jederzeit durch eine schriftliche Wahl respektive Abstimmung wiederholen lassen, sofern nach seiner Meinung Zweifel am Ergebnis bestehen. </w:t>
            </w:r>
            <w:r w:rsidRPr="00A1421C">
              <w:rPr>
                <w:rFonts w:ascii="Verdana" w:hAnsi="Verdana"/>
                <w:sz w:val="16"/>
              </w:rPr>
              <w:t>In diesem Fall gilt die vorausgegangene offene oder elektronische Wahl respektive Abstimmung als nicht erfolgt.</w:t>
            </w:r>
          </w:p>
        </w:tc>
        <w:tc>
          <w:tcPr>
            <w:tcW w:w="596" w:type="dxa"/>
            <w:vMerge/>
          </w:tcPr>
          <w:p w14:paraId="28C9F2C4" w14:textId="77777777" w:rsidR="002F537E" w:rsidRPr="00937FAC" w:rsidRDefault="002F537E" w:rsidP="002F537E">
            <w:pPr>
              <w:pStyle w:val="BodyText2"/>
              <w:spacing w:before="60"/>
              <w:ind w:left="425" w:hanging="425"/>
              <w:rPr>
                <w:sz w:val="16"/>
              </w:rPr>
            </w:pPr>
          </w:p>
        </w:tc>
        <w:tc>
          <w:tcPr>
            <w:tcW w:w="5074" w:type="dxa"/>
          </w:tcPr>
          <w:p w14:paraId="667314CE" w14:textId="7F107099" w:rsidR="002F537E" w:rsidRPr="00B129A2" w:rsidRDefault="002F537E" w:rsidP="00C825D6">
            <w:pPr>
              <w:pStyle w:val="TextTopNum1"/>
              <w:numPr>
                <w:ilvl w:val="0"/>
                <w:numId w:val="42"/>
              </w:numPr>
              <w:spacing w:before="60" w:after="0" w:line="240" w:lineRule="auto"/>
              <w:ind w:left="425" w:hanging="425"/>
              <w:rPr>
                <w:rFonts w:ascii="Verdana" w:hAnsi="Verdana"/>
                <w:sz w:val="16"/>
                <w:lang w:val="en-US"/>
              </w:rPr>
            </w:pPr>
            <w:r w:rsidRPr="00B129A2">
              <w:rPr>
                <w:rFonts w:ascii="Verdana" w:hAnsi="Verdana"/>
                <w:sz w:val="16"/>
                <w:lang w:val="en-US"/>
              </w:rPr>
              <w:t xml:space="preserve">The chair may order at any time that an election or vote by open or electronic ballot be repeated by an election or vote by written ballot where, in his view, there exists doubt as to the results. In such </w:t>
            </w:r>
            <w:proofErr w:type="gramStart"/>
            <w:r w:rsidRPr="00B129A2">
              <w:rPr>
                <w:rFonts w:ascii="Verdana" w:hAnsi="Verdana"/>
                <w:sz w:val="16"/>
                <w:lang w:val="en-US"/>
              </w:rPr>
              <w:t>case</w:t>
            </w:r>
            <w:proofErr w:type="gramEnd"/>
            <w:r w:rsidRPr="00B129A2">
              <w:rPr>
                <w:rFonts w:ascii="Verdana" w:hAnsi="Verdana"/>
                <w:sz w:val="16"/>
                <w:lang w:val="en-US"/>
              </w:rPr>
              <w:t>, the foregoing election or vote by open or electronic ballot shall be considered as not having taken place.</w:t>
            </w:r>
          </w:p>
        </w:tc>
      </w:tr>
      <w:tr w:rsidR="002F537E" w:rsidRPr="00937FAC" w14:paraId="1D91C0CF" w14:textId="77777777" w:rsidTr="00846CDA">
        <w:tc>
          <w:tcPr>
            <w:tcW w:w="4962" w:type="dxa"/>
          </w:tcPr>
          <w:p w14:paraId="1893D3B3" w14:textId="77777777" w:rsidR="002F537E" w:rsidRPr="00B54E03" w:rsidRDefault="002F537E" w:rsidP="002F537E">
            <w:pPr>
              <w:jc w:val="center"/>
              <w:rPr>
                <w:rFonts w:ascii="Verdana" w:hAnsi="Verdana"/>
                <w:b/>
                <w:sz w:val="16"/>
                <w:lang w:val="en-US"/>
              </w:rPr>
            </w:pPr>
          </w:p>
          <w:p w14:paraId="5D7C6830" w14:textId="312CA3C7" w:rsidR="002F537E" w:rsidRDefault="002F537E" w:rsidP="002F537E">
            <w:pPr>
              <w:jc w:val="center"/>
              <w:rPr>
                <w:rFonts w:ascii="Verdana" w:hAnsi="Verdana"/>
                <w:b/>
                <w:sz w:val="16"/>
                <w:lang w:val="de-CH"/>
              </w:rPr>
            </w:pPr>
            <w:r>
              <w:rPr>
                <w:rFonts w:ascii="Verdana" w:hAnsi="Verdana"/>
                <w:b/>
                <w:sz w:val="16"/>
                <w:lang w:val="de-CH"/>
              </w:rPr>
              <w:t>Art. 17</w:t>
            </w:r>
          </w:p>
          <w:p w14:paraId="08B5DC6C" w14:textId="77777777" w:rsidR="002F537E" w:rsidRPr="00937FAC" w:rsidRDefault="002F537E" w:rsidP="002F537E">
            <w:pPr>
              <w:jc w:val="center"/>
              <w:rPr>
                <w:rFonts w:ascii="Verdana" w:hAnsi="Verdana"/>
                <w:b/>
                <w:sz w:val="16"/>
                <w:lang w:val="de-CH"/>
              </w:rPr>
            </w:pPr>
            <w:r>
              <w:rPr>
                <w:rFonts w:ascii="Verdana" w:hAnsi="Verdana"/>
                <w:b/>
                <w:sz w:val="16"/>
                <w:lang w:val="de-CH"/>
              </w:rPr>
              <w:t>Vorsitz, Organisation und Protokoll</w:t>
            </w:r>
          </w:p>
          <w:p w14:paraId="43D5CCB0" w14:textId="77777777" w:rsidR="002F537E" w:rsidRPr="00937FAC" w:rsidRDefault="002F537E" w:rsidP="002F537E">
            <w:pPr>
              <w:jc w:val="center"/>
              <w:rPr>
                <w:rFonts w:ascii="Verdana" w:hAnsi="Verdana"/>
                <w:b/>
                <w:sz w:val="16"/>
                <w:lang w:val="de-CH"/>
              </w:rPr>
            </w:pPr>
          </w:p>
        </w:tc>
        <w:tc>
          <w:tcPr>
            <w:tcW w:w="596" w:type="dxa"/>
          </w:tcPr>
          <w:p w14:paraId="7C1A5147" w14:textId="77777777" w:rsidR="002F537E" w:rsidRPr="00937FAC" w:rsidRDefault="002F537E" w:rsidP="002F537E">
            <w:pPr>
              <w:jc w:val="center"/>
              <w:rPr>
                <w:rFonts w:ascii="Verdana" w:hAnsi="Verdana"/>
                <w:sz w:val="16"/>
                <w:lang w:val="de-CH"/>
              </w:rPr>
            </w:pPr>
          </w:p>
        </w:tc>
        <w:tc>
          <w:tcPr>
            <w:tcW w:w="5074" w:type="dxa"/>
          </w:tcPr>
          <w:p w14:paraId="18AD0CBA" w14:textId="77777777" w:rsidR="002F537E" w:rsidRPr="007C2D56" w:rsidRDefault="002F537E" w:rsidP="002F537E">
            <w:pPr>
              <w:jc w:val="center"/>
              <w:rPr>
                <w:rFonts w:ascii="Verdana" w:hAnsi="Verdana"/>
                <w:b/>
                <w:sz w:val="16"/>
                <w:lang w:val="en-US"/>
              </w:rPr>
            </w:pPr>
          </w:p>
          <w:p w14:paraId="41CDFFD5" w14:textId="0F72392A" w:rsidR="002F537E" w:rsidRPr="00937FAC" w:rsidRDefault="002F537E" w:rsidP="002F537E">
            <w:pPr>
              <w:jc w:val="center"/>
              <w:rPr>
                <w:rFonts w:ascii="Verdana" w:hAnsi="Verdana"/>
                <w:b/>
                <w:sz w:val="16"/>
                <w:lang w:val="en-GB"/>
              </w:rPr>
            </w:pPr>
            <w:r>
              <w:rPr>
                <w:rFonts w:ascii="Verdana" w:hAnsi="Verdana"/>
                <w:b/>
                <w:sz w:val="16"/>
                <w:lang w:val="en-GB"/>
              </w:rPr>
              <w:t>Art. 17</w:t>
            </w:r>
          </w:p>
          <w:p w14:paraId="3456C718" w14:textId="77777777" w:rsidR="002F537E" w:rsidRDefault="002F537E" w:rsidP="002F537E">
            <w:pPr>
              <w:jc w:val="center"/>
              <w:rPr>
                <w:rFonts w:ascii="Verdana" w:hAnsi="Verdana"/>
                <w:b/>
                <w:sz w:val="16"/>
                <w:lang w:val="en-GB"/>
              </w:rPr>
            </w:pPr>
            <w:r w:rsidRPr="003B6343">
              <w:rPr>
                <w:rFonts w:ascii="Verdana" w:hAnsi="Verdana"/>
                <w:b/>
                <w:sz w:val="16"/>
                <w:lang w:val="en-GB"/>
              </w:rPr>
              <w:t>Chair, organi</w:t>
            </w:r>
            <w:r>
              <w:rPr>
                <w:rFonts w:ascii="Verdana" w:hAnsi="Verdana"/>
                <w:b/>
                <w:sz w:val="16"/>
                <w:lang w:val="en-GB"/>
              </w:rPr>
              <w:t>z</w:t>
            </w:r>
            <w:r w:rsidRPr="003B6343">
              <w:rPr>
                <w:rFonts w:ascii="Verdana" w:hAnsi="Verdana"/>
                <w:b/>
                <w:sz w:val="16"/>
                <w:lang w:val="en-GB"/>
              </w:rPr>
              <w:t>ation and minutes</w:t>
            </w:r>
          </w:p>
          <w:p w14:paraId="16DC5411" w14:textId="7A2D3BA9" w:rsidR="002F537E" w:rsidRPr="00937FAC" w:rsidRDefault="002F537E" w:rsidP="002F537E">
            <w:pPr>
              <w:jc w:val="center"/>
              <w:rPr>
                <w:rFonts w:ascii="Verdana" w:hAnsi="Verdana"/>
                <w:b/>
                <w:sz w:val="16"/>
                <w:lang w:val="en-GB"/>
              </w:rPr>
            </w:pPr>
          </w:p>
        </w:tc>
      </w:tr>
      <w:tr w:rsidR="002F537E" w:rsidRPr="00937FAC" w14:paraId="6C76DF1D" w14:textId="77777777" w:rsidTr="00846CDA">
        <w:trPr>
          <w:trHeight w:val="393"/>
        </w:trPr>
        <w:tc>
          <w:tcPr>
            <w:tcW w:w="4962" w:type="dxa"/>
          </w:tcPr>
          <w:p w14:paraId="64319E3B" w14:textId="0BD72FCD" w:rsidR="002F537E" w:rsidRPr="004F34E5" w:rsidRDefault="002F537E" w:rsidP="002F537E">
            <w:pPr>
              <w:pStyle w:val="BodyText2"/>
              <w:numPr>
                <w:ilvl w:val="0"/>
                <w:numId w:val="10"/>
              </w:numPr>
              <w:spacing w:before="60"/>
              <w:ind w:left="425" w:hanging="425"/>
              <w:rPr>
                <w:sz w:val="16"/>
              </w:rPr>
            </w:pPr>
            <w:r w:rsidRPr="003B6343">
              <w:rPr>
                <w:sz w:val="16"/>
              </w:rPr>
              <w:t xml:space="preserve">Der Präsident des Verwaltungsrates führt den Vorsitz in der Generalversammlung, bei </w:t>
            </w:r>
            <w:r>
              <w:rPr>
                <w:sz w:val="16"/>
              </w:rPr>
              <w:t>seiner oder ihrer</w:t>
            </w:r>
            <w:r w:rsidRPr="003B6343">
              <w:rPr>
                <w:sz w:val="16"/>
              </w:rPr>
              <w:t xml:space="preserve"> Verhinderung der Vizepräsident oder ein </w:t>
            </w:r>
            <w:r>
              <w:rPr>
                <w:sz w:val="16"/>
              </w:rPr>
              <w:t>vom Verwaltungsrat bestimmter Tagespräsident</w:t>
            </w:r>
            <w:r w:rsidRPr="003B6343">
              <w:rPr>
                <w:sz w:val="16"/>
              </w:rPr>
              <w:t xml:space="preserve">. Der Vorsitzende bezeichnet den Protokollführer und die Stimmenzähler. </w:t>
            </w:r>
          </w:p>
        </w:tc>
        <w:tc>
          <w:tcPr>
            <w:tcW w:w="596" w:type="dxa"/>
            <w:vMerge w:val="restart"/>
          </w:tcPr>
          <w:p w14:paraId="5E9022E3" w14:textId="77777777" w:rsidR="002F537E" w:rsidRPr="003B6343" w:rsidRDefault="002F537E" w:rsidP="002F537E">
            <w:pPr>
              <w:pStyle w:val="BodyText2"/>
              <w:spacing w:before="60"/>
              <w:ind w:left="425" w:hanging="425"/>
              <w:rPr>
                <w:sz w:val="16"/>
              </w:rPr>
            </w:pPr>
          </w:p>
        </w:tc>
        <w:tc>
          <w:tcPr>
            <w:tcW w:w="5074" w:type="dxa"/>
          </w:tcPr>
          <w:p w14:paraId="3712EF66" w14:textId="4CC06238" w:rsidR="002F537E" w:rsidRPr="004F34E5" w:rsidRDefault="002F537E" w:rsidP="00C825D6">
            <w:pPr>
              <w:pStyle w:val="BodyText2"/>
              <w:numPr>
                <w:ilvl w:val="0"/>
                <w:numId w:val="43"/>
              </w:numPr>
              <w:spacing w:before="60"/>
              <w:ind w:left="425" w:hanging="425"/>
              <w:rPr>
                <w:sz w:val="16"/>
                <w:lang w:val="en-US"/>
              </w:rPr>
            </w:pPr>
            <w:r w:rsidRPr="00A1421C">
              <w:rPr>
                <w:sz w:val="16"/>
                <w:lang w:val="en-US"/>
              </w:rPr>
              <w:t>T</w:t>
            </w:r>
            <w:r w:rsidRPr="00B129A2">
              <w:rPr>
                <w:sz w:val="16"/>
                <w:lang w:val="en-US"/>
              </w:rPr>
              <w:t>he General Meeting shall be chaired by the Chairman of the Board or, in his or her absence, by the Deputy Chairman or an interim chairman appointed by the Board of Directors. The chair of the meeting shall designate a minuting secretary and tellers.</w:t>
            </w:r>
          </w:p>
        </w:tc>
      </w:tr>
      <w:tr w:rsidR="002F537E" w:rsidRPr="00937FAC" w14:paraId="60268619" w14:textId="77777777" w:rsidTr="00846CDA">
        <w:trPr>
          <w:trHeight w:val="393"/>
        </w:trPr>
        <w:tc>
          <w:tcPr>
            <w:tcW w:w="4962" w:type="dxa"/>
          </w:tcPr>
          <w:p w14:paraId="75FC520F" w14:textId="3F90ADD5" w:rsidR="002F537E" w:rsidRPr="004F34E5" w:rsidRDefault="002F537E" w:rsidP="002F537E">
            <w:pPr>
              <w:pStyle w:val="BodyText2"/>
              <w:numPr>
                <w:ilvl w:val="0"/>
                <w:numId w:val="10"/>
              </w:numPr>
              <w:spacing w:before="60"/>
              <w:ind w:left="425" w:hanging="425"/>
              <w:rPr>
                <w:sz w:val="16"/>
              </w:rPr>
            </w:pPr>
            <w:r w:rsidRPr="003B6343">
              <w:rPr>
                <w:sz w:val="16"/>
              </w:rPr>
              <w:t>Der Vorsitzende leitet die Versammlung, die Verhandlungen sowie die Abstimmungen und gibt die Resultate der Abstimmungen bekannt. Er hat die notwen</w:t>
            </w:r>
            <w:r>
              <w:rPr>
                <w:sz w:val="16"/>
              </w:rPr>
              <w:t>digen Vollmachten, um den norma</w:t>
            </w:r>
            <w:r w:rsidRPr="003B6343">
              <w:rPr>
                <w:sz w:val="16"/>
              </w:rPr>
              <w:t>len Verlauf der Versammlung zu gewährleisten.</w:t>
            </w:r>
          </w:p>
        </w:tc>
        <w:tc>
          <w:tcPr>
            <w:tcW w:w="596" w:type="dxa"/>
            <w:vMerge/>
          </w:tcPr>
          <w:p w14:paraId="6BE51065" w14:textId="77777777" w:rsidR="002F537E" w:rsidRPr="003B6343" w:rsidRDefault="002F537E" w:rsidP="002F537E">
            <w:pPr>
              <w:pStyle w:val="BodyText2"/>
              <w:spacing w:before="60"/>
              <w:ind w:left="425" w:hanging="425"/>
              <w:rPr>
                <w:sz w:val="16"/>
              </w:rPr>
            </w:pPr>
          </w:p>
        </w:tc>
        <w:tc>
          <w:tcPr>
            <w:tcW w:w="5074" w:type="dxa"/>
          </w:tcPr>
          <w:p w14:paraId="4DB2D1C6" w14:textId="46C57A43" w:rsidR="002F537E" w:rsidRPr="004F34E5" w:rsidRDefault="002F537E" w:rsidP="00C825D6">
            <w:pPr>
              <w:pStyle w:val="BodyText2"/>
              <w:numPr>
                <w:ilvl w:val="0"/>
                <w:numId w:val="43"/>
              </w:numPr>
              <w:spacing w:before="60"/>
              <w:ind w:left="425" w:hanging="425"/>
              <w:rPr>
                <w:sz w:val="16"/>
                <w:lang w:val="en-US"/>
              </w:rPr>
            </w:pPr>
            <w:r w:rsidRPr="00B129A2">
              <w:rPr>
                <w:sz w:val="16"/>
                <w:lang w:val="en-US"/>
              </w:rPr>
              <w:t>The chair shall conduct the meeting, its proceedings and all voting, and shall announce the voting results. The chair shall have the necessary authority to ensure a normal course of events</w:t>
            </w:r>
            <w:r>
              <w:rPr>
                <w:sz w:val="16"/>
                <w:lang w:val="en-US"/>
              </w:rPr>
              <w:t>.</w:t>
            </w:r>
          </w:p>
        </w:tc>
      </w:tr>
      <w:tr w:rsidR="002F537E" w:rsidRPr="00937FAC" w14:paraId="791E51BA" w14:textId="77777777" w:rsidTr="00846CDA">
        <w:trPr>
          <w:trHeight w:val="393"/>
        </w:trPr>
        <w:tc>
          <w:tcPr>
            <w:tcW w:w="4962" w:type="dxa"/>
          </w:tcPr>
          <w:p w14:paraId="40F35FDF" w14:textId="03B70060" w:rsidR="002F537E" w:rsidRPr="003B6343" w:rsidRDefault="002F537E" w:rsidP="002F537E">
            <w:pPr>
              <w:pStyle w:val="BodyText2"/>
              <w:numPr>
                <w:ilvl w:val="0"/>
                <w:numId w:val="10"/>
              </w:numPr>
              <w:spacing w:before="60"/>
              <w:ind w:left="425" w:hanging="425"/>
              <w:rPr>
                <w:sz w:val="16"/>
              </w:rPr>
            </w:pPr>
            <w:r w:rsidRPr="003B6343">
              <w:rPr>
                <w:sz w:val="16"/>
              </w:rPr>
              <w:lastRenderedPageBreak/>
              <w:t>Die Verhandlungen der Generalversammlung sind zu protokoll</w:t>
            </w:r>
            <w:r>
              <w:rPr>
                <w:sz w:val="16"/>
              </w:rPr>
              <w:t>ieren.</w:t>
            </w:r>
          </w:p>
        </w:tc>
        <w:tc>
          <w:tcPr>
            <w:tcW w:w="596" w:type="dxa"/>
            <w:vMerge/>
          </w:tcPr>
          <w:p w14:paraId="53B1D257" w14:textId="77777777" w:rsidR="002F537E" w:rsidRPr="003B6343" w:rsidRDefault="002F537E" w:rsidP="002F537E">
            <w:pPr>
              <w:pStyle w:val="BodyText2"/>
              <w:spacing w:before="60"/>
              <w:ind w:left="425" w:hanging="425"/>
              <w:rPr>
                <w:sz w:val="16"/>
              </w:rPr>
            </w:pPr>
          </w:p>
        </w:tc>
        <w:tc>
          <w:tcPr>
            <w:tcW w:w="5074" w:type="dxa"/>
          </w:tcPr>
          <w:p w14:paraId="67DF35C2" w14:textId="6CD605C5" w:rsidR="002F537E" w:rsidRPr="00A1421C" w:rsidRDefault="002F537E" w:rsidP="00C825D6">
            <w:pPr>
              <w:pStyle w:val="BodyText2"/>
              <w:numPr>
                <w:ilvl w:val="0"/>
                <w:numId w:val="43"/>
              </w:numPr>
              <w:spacing w:before="60"/>
              <w:ind w:left="425" w:hanging="425"/>
              <w:rPr>
                <w:sz w:val="16"/>
                <w:lang w:val="en-US"/>
              </w:rPr>
            </w:pPr>
            <w:r w:rsidRPr="00B129A2">
              <w:rPr>
                <w:sz w:val="16"/>
                <w:lang w:val="en-US"/>
              </w:rPr>
              <w:t>Minutes shall be taken of the General Meeting’s proceedings.</w:t>
            </w:r>
          </w:p>
        </w:tc>
      </w:tr>
      <w:tr w:rsidR="002F537E" w:rsidRPr="00040CBF" w14:paraId="03433176" w14:textId="77777777" w:rsidTr="00846CDA">
        <w:tc>
          <w:tcPr>
            <w:tcW w:w="4962" w:type="dxa"/>
          </w:tcPr>
          <w:p w14:paraId="275A4B2E" w14:textId="77777777" w:rsidR="002F537E" w:rsidRDefault="002F537E" w:rsidP="002F537E">
            <w:pPr>
              <w:pStyle w:val="Heading3"/>
              <w:keepNext w:val="0"/>
              <w:keepLines w:val="0"/>
              <w:numPr>
                <w:ilvl w:val="0"/>
                <w:numId w:val="0"/>
              </w:numPr>
              <w:spacing w:before="0" w:after="0"/>
              <w:ind w:left="851" w:hanging="851"/>
              <w:jc w:val="center"/>
              <w:rPr>
                <w:rFonts w:ascii="Verdana" w:hAnsi="Verdana"/>
                <w:sz w:val="16"/>
                <w:lang w:val="en-US"/>
              </w:rPr>
            </w:pPr>
            <w:r w:rsidRPr="00E80F85">
              <w:rPr>
                <w:rFonts w:ascii="Verdana" w:hAnsi="Verdana"/>
                <w:sz w:val="16"/>
                <w:lang w:val="en-US"/>
              </w:rPr>
              <w:br w:type="page"/>
            </w:r>
          </w:p>
          <w:p w14:paraId="4E02F010" w14:textId="77777777" w:rsidR="002F537E" w:rsidRPr="00040CBF" w:rsidRDefault="002F537E" w:rsidP="002F537E">
            <w:pPr>
              <w:pStyle w:val="Heading3"/>
              <w:keepNext w:val="0"/>
              <w:keepLines w:val="0"/>
              <w:numPr>
                <w:ilvl w:val="0"/>
                <w:numId w:val="0"/>
              </w:numPr>
              <w:spacing w:before="0" w:after="0"/>
              <w:ind w:left="851" w:hanging="851"/>
              <w:jc w:val="center"/>
              <w:rPr>
                <w:rFonts w:ascii="Verdana" w:hAnsi="Verdana"/>
                <w:sz w:val="16"/>
              </w:rPr>
            </w:pPr>
            <w:r w:rsidRPr="00040CBF">
              <w:rPr>
                <w:rFonts w:ascii="Verdana" w:hAnsi="Verdana"/>
                <w:sz w:val="16"/>
              </w:rPr>
              <w:t>B. Verwaltungsrat</w:t>
            </w:r>
          </w:p>
          <w:p w14:paraId="61C0732C" w14:textId="77777777" w:rsidR="002F537E" w:rsidRPr="00040CBF" w:rsidRDefault="002F537E" w:rsidP="002F537E">
            <w:pPr>
              <w:pStyle w:val="NormalIndent"/>
              <w:jc w:val="center"/>
              <w:rPr>
                <w:lang w:val="de-CH"/>
              </w:rPr>
            </w:pPr>
          </w:p>
        </w:tc>
        <w:tc>
          <w:tcPr>
            <w:tcW w:w="596" w:type="dxa"/>
          </w:tcPr>
          <w:p w14:paraId="2F0F4543" w14:textId="77777777" w:rsidR="002F537E" w:rsidRPr="00040CBF" w:rsidRDefault="002F537E" w:rsidP="002F537E">
            <w:pPr>
              <w:spacing w:line="312" w:lineRule="auto"/>
              <w:jc w:val="center"/>
              <w:rPr>
                <w:rFonts w:ascii="Verdana" w:hAnsi="Verdana"/>
                <w:b/>
                <w:sz w:val="16"/>
                <w:lang w:val="de-CH"/>
              </w:rPr>
            </w:pPr>
          </w:p>
        </w:tc>
        <w:tc>
          <w:tcPr>
            <w:tcW w:w="5074" w:type="dxa"/>
          </w:tcPr>
          <w:p w14:paraId="77E0F2DA" w14:textId="77777777" w:rsidR="002F537E" w:rsidRPr="00040CBF" w:rsidRDefault="002F537E" w:rsidP="002F537E">
            <w:pPr>
              <w:pStyle w:val="Heading3"/>
              <w:keepNext w:val="0"/>
              <w:keepLines w:val="0"/>
              <w:numPr>
                <w:ilvl w:val="0"/>
                <w:numId w:val="0"/>
              </w:numPr>
              <w:spacing w:before="0" w:after="0"/>
              <w:jc w:val="center"/>
              <w:rPr>
                <w:rFonts w:ascii="Verdana" w:hAnsi="Verdana"/>
                <w:sz w:val="16"/>
              </w:rPr>
            </w:pPr>
          </w:p>
          <w:p w14:paraId="0BD19B65" w14:textId="77777777" w:rsidR="002F537E" w:rsidRPr="00040CBF" w:rsidRDefault="002F537E" w:rsidP="002F537E">
            <w:pPr>
              <w:pStyle w:val="Heading3"/>
              <w:keepNext w:val="0"/>
              <w:keepLines w:val="0"/>
              <w:numPr>
                <w:ilvl w:val="0"/>
                <w:numId w:val="0"/>
              </w:numPr>
              <w:spacing w:before="0" w:after="0"/>
              <w:jc w:val="center"/>
              <w:rPr>
                <w:rFonts w:ascii="Verdana" w:hAnsi="Verdana"/>
                <w:sz w:val="16"/>
              </w:rPr>
            </w:pPr>
            <w:r>
              <w:rPr>
                <w:rFonts w:ascii="Verdana" w:hAnsi="Verdana"/>
                <w:sz w:val="16"/>
              </w:rPr>
              <w:t xml:space="preserve">B. </w:t>
            </w:r>
            <w:r w:rsidRPr="00040CBF">
              <w:rPr>
                <w:rFonts w:ascii="Verdana" w:hAnsi="Verdana"/>
                <w:sz w:val="16"/>
              </w:rPr>
              <w:t xml:space="preserve">Board </w:t>
            </w:r>
            <w:proofErr w:type="spellStart"/>
            <w:r w:rsidRPr="00040CBF">
              <w:rPr>
                <w:rFonts w:ascii="Verdana" w:hAnsi="Verdana"/>
                <w:sz w:val="16"/>
              </w:rPr>
              <w:t>of</w:t>
            </w:r>
            <w:proofErr w:type="spellEnd"/>
            <w:r w:rsidRPr="00040CBF">
              <w:rPr>
                <w:rFonts w:ascii="Verdana" w:hAnsi="Verdana"/>
                <w:sz w:val="16"/>
              </w:rPr>
              <w:t xml:space="preserve"> </w:t>
            </w:r>
            <w:proofErr w:type="spellStart"/>
            <w:r w:rsidRPr="00040CBF">
              <w:rPr>
                <w:rFonts w:ascii="Verdana" w:hAnsi="Verdana"/>
                <w:sz w:val="16"/>
              </w:rPr>
              <w:t>Directors</w:t>
            </w:r>
            <w:proofErr w:type="spellEnd"/>
          </w:p>
        </w:tc>
      </w:tr>
      <w:tr w:rsidR="002F537E" w:rsidRPr="00040CBF" w14:paraId="42C64FEE" w14:textId="77777777" w:rsidTr="00846CDA">
        <w:tc>
          <w:tcPr>
            <w:tcW w:w="4962" w:type="dxa"/>
          </w:tcPr>
          <w:p w14:paraId="43CD1F15" w14:textId="77777777" w:rsidR="002F537E" w:rsidRPr="00937FAC" w:rsidRDefault="002F537E" w:rsidP="002F537E">
            <w:pPr>
              <w:jc w:val="center"/>
              <w:rPr>
                <w:rFonts w:ascii="Verdana" w:hAnsi="Verdana"/>
                <w:b/>
                <w:sz w:val="16"/>
                <w:lang w:val="de-CH"/>
              </w:rPr>
            </w:pPr>
          </w:p>
          <w:p w14:paraId="2F2E50B5" w14:textId="2C07AC04" w:rsidR="002F537E" w:rsidRPr="00937FAC" w:rsidRDefault="002F537E" w:rsidP="002F537E">
            <w:pPr>
              <w:jc w:val="center"/>
              <w:rPr>
                <w:rFonts w:ascii="Verdana" w:hAnsi="Verdana"/>
                <w:b/>
                <w:sz w:val="16"/>
                <w:lang w:val="de-CH"/>
              </w:rPr>
            </w:pPr>
            <w:r>
              <w:rPr>
                <w:rFonts w:ascii="Verdana" w:hAnsi="Verdana"/>
                <w:b/>
                <w:sz w:val="16"/>
                <w:lang w:val="de-CH"/>
              </w:rPr>
              <w:t>Art. 18</w:t>
            </w:r>
          </w:p>
          <w:p w14:paraId="1EDB05B3" w14:textId="77777777" w:rsidR="002F537E" w:rsidRPr="00937FAC" w:rsidRDefault="002F537E" w:rsidP="002F537E">
            <w:pPr>
              <w:jc w:val="center"/>
              <w:rPr>
                <w:rFonts w:ascii="Verdana" w:hAnsi="Verdana"/>
                <w:b/>
                <w:sz w:val="16"/>
                <w:lang w:val="de-CH"/>
              </w:rPr>
            </w:pPr>
            <w:r>
              <w:rPr>
                <w:rFonts w:ascii="Verdana" w:hAnsi="Verdana"/>
                <w:b/>
                <w:sz w:val="16"/>
                <w:lang w:val="de-CH"/>
              </w:rPr>
              <w:t>Zusammensetzung</w:t>
            </w:r>
          </w:p>
        </w:tc>
        <w:tc>
          <w:tcPr>
            <w:tcW w:w="596" w:type="dxa"/>
          </w:tcPr>
          <w:p w14:paraId="5376649D" w14:textId="77777777" w:rsidR="002F537E" w:rsidRPr="00937FAC" w:rsidRDefault="002F537E" w:rsidP="002F537E">
            <w:pPr>
              <w:jc w:val="center"/>
              <w:rPr>
                <w:rFonts w:ascii="Verdana" w:hAnsi="Verdana"/>
                <w:sz w:val="16"/>
                <w:lang w:val="de-CH"/>
              </w:rPr>
            </w:pPr>
          </w:p>
        </w:tc>
        <w:tc>
          <w:tcPr>
            <w:tcW w:w="5074" w:type="dxa"/>
          </w:tcPr>
          <w:p w14:paraId="7FFECAE6" w14:textId="77777777" w:rsidR="002F537E" w:rsidRPr="00040CBF" w:rsidRDefault="002F537E" w:rsidP="002F537E">
            <w:pPr>
              <w:jc w:val="center"/>
              <w:rPr>
                <w:rFonts w:ascii="Verdana" w:hAnsi="Verdana"/>
                <w:b/>
                <w:sz w:val="16"/>
                <w:lang w:val="de-CH"/>
              </w:rPr>
            </w:pPr>
          </w:p>
          <w:p w14:paraId="6CBAE106" w14:textId="3D5EF24A" w:rsidR="002F537E" w:rsidRPr="00040CBF" w:rsidRDefault="002F537E" w:rsidP="002F537E">
            <w:pPr>
              <w:jc w:val="center"/>
              <w:rPr>
                <w:rFonts w:ascii="Verdana" w:hAnsi="Verdana"/>
                <w:b/>
                <w:sz w:val="16"/>
                <w:lang w:val="de-CH"/>
              </w:rPr>
            </w:pPr>
            <w:r w:rsidRPr="00040CBF">
              <w:rPr>
                <w:rFonts w:ascii="Verdana" w:hAnsi="Verdana"/>
                <w:b/>
                <w:sz w:val="16"/>
                <w:lang w:val="de-CH"/>
              </w:rPr>
              <w:t xml:space="preserve">Art. </w:t>
            </w:r>
            <w:r>
              <w:rPr>
                <w:rFonts w:ascii="Verdana" w:hAnsi="Verdana"/>
                <w:b/>
                <w:sz w:val="16"/>
                <w:lang w:val="de-CH"/>
              </w:rPr>
              <w:t>18</w:t>
            </w:r>
          </w:p>
          <w:p w14:paraId="58578C9A" w14:textId="77777777" w:rsidR="002F537E" w:rsidRPr="00040CBF" w:rsidRDefault="002F537E" w:rsidP="002F537E">
            <w:pPr>
              <w:jc w:val="center"/>
              <w:rPr>
                <w:rFonts w:ascii="Verdana" w:hAnsi="Verdana"/>
                <w:b/>
                <w:sz w:val="16"/>
                <w:lang w:val="de-CH"/>
              </w:rPr>
            </w:pPr>
            <w:proofErr w:type="spellStart"/>
            <w:r w:rsidRPr="00040CBF">
              <w:rPr>
                <w:rFonts w:ascii="Verdana" w:hAnsi="Verdana"/>
                <w:b/>
                <w:sz w:val="16"/>
                <w:lang w:val="de-CH"/>
              </w:rPr>
              <w:t>Composition</w:t>
            </w:r>
            <w:proofErr w:type="spellEnd"/>
          </w:p>
          <w:p w14:paraId="31B9DFAA" w14:textId="77777777" w:rsidR="002F537E" w:rsidRPr="00040CBF" w:rsidRDefault="002F537E" w:rsidP="002F537E">
            <w:pPr>
              <w:jc w:val="center"/>
              <w:rPr>
                <w:rFonts w:ascii="Verdana" w:hAnsi="Verdana"/>
                <w:b/>
                <w:sz w:val="16"/>
                <w:lang w:val="de-CH"/>
              </w:rPr>
            </w:pPr>
          </w:p>
        </w:tc>
      </w:tr>
      <w:tr w:rsidR="002F537E" w:rsidRPr="00937FAC" w14:paraId="79AA9635" w14:textId="77777777" w:rsidTr="00846CDA">
        <w:trPr>
          <w:trHeight w:val="542"/>
        </w:trPr>
        <w:tc>
          <w:tcPr>
            <w:tcW w:w="4962" w:type="dxa"/>
          </w:tcPr>
          <w:p w14:paraId="7E47928A" w14:textId="0ECF8720" w:rsidR="002F537E" w:rsidRPr="0007237E" w:rsidRDefault="002F537E" w:rsidP="00C825D6">
            <w:pPr>
              <w:pStyle w:val="BodyText2"/>
              <w:numPr>
                <w:ilvl w:val="0"/>
                <w:numId w:val="20"/>
              </w:numPr>
              <w:spacing w:before="60"/>
              <w:ind w:left="425" w:hanging="425"/>
              <w:rPr>
                <w:sz w:val="16"/>
              </w:rPr>
            </w:pPr>
            <w:r w:rsidRPr="001C67C4">
              <w:rPr>
                <w:sz w:val="16"/>
              </w:rPr>
              <w:t xml:space="preserve">Der Verwaltungsrat besteht aus mindestens </w:t>
            </w:r>
            <w:r>
              <w:rPr>
                <w:sz w:val="16"/>
              </w:rPr>
              <w:t xml:space="preserve">drei </w:t>
            </w:r>
            <w:r w:rsidRPr="001C67C4">
              <w:rPr>
                <w:sz w:val="16"/>
              </w:rPr>
              <w:t xml:space="preserve">Mitgliedern. </w:t>
            </w:r>
            <w:r w:rsidRPr="00A1421C">
              <w:rPr>
                <w:sz w:val="16"/>
              </w:rPr>
              <w:t xml:space="preserve">Der Präsident sowie die übrigen Mitglieder des Verwaltungsrates werden von der Generalversammlung einzeln für eine Dauer von einem Jahr bis zum Abschluss der nächsten ordentlichen Generalversammlung gewählt. </w:t>
            </w:r>
            <w:r w:rsidRPr="00D660B3">
              <w:rPr>
                <w:sz w:val="16"/>
              </w:rPr>
              <w:t xml:space="preserve">Wiederwahl ist zulässig. </w:t>
            </w:r>
          </w:p>
        </w:tc>
        <w:tc>
          <w:tcPr>
            <w:tcW w:w="596" w:type="dxa"/>
            <w:vMerge w:val="restart"/>
          </w:tcPr>
          <w:p w14:paraId="1ACDB0D8" w14:textId="77777777" w:rsidR="002F537E" w:rsidRPr="00937FAC" w:rsidRDefault="002F537E" w:rsidP="002F537E">
            <w:pPr>
              <w:pStyle w:val="BodyText2"/>
              <w:spacing w:before="60"/>
              <w:ind w:left="425" w:hanging="425"/>
              <w:rPr>
                <w:sz w:val="16"/>
              </w:rPr>
            </w:pPr>
          </w:p>
        </w:tc>
        <w:tc>
          <w:tcPr>
            <w:tcW w:w="5074" w:type="dxa"/>
          </w:tcPr>
          <w:p w14:paraId="2F8E1AE5" w14:textId="65F13131" w:rsidR="002F537E" w:rsidRPr="0007237E" w:rsidRDefault="002F537E" w:rsidP="00C825D6">
            <w:pPr>
              <w:pStyle w:val="BodyText2"/>
              <w:numPr>
                <w:ilvl w:val="0"/>
                <w:numId w:val="44"/>
              </w:numPr>
              <w:spacing w:before="60"/>
              <w:ind w:left="425" w:hanging="425"/>
              <w:rPr>
                <w:sz w:val="16"/>
              </w:rPr>
            </w:pPr>
            <w:r w:rsidRPr="00B129A2">
              <w:rPr>
                <w:sz w:val="16"/>
                <w:lang w:val="en-US"/>
              </w:rPr>
              <w:t xml:space="preserve">The board of directors ("Board of Directors") shall consist of at least three members. The Chairman and the other members of the Board of Directors shall be elected by the General Meeting on an individual basis for a term of one year, ending with the end of the next Ordinary General Meeting. </w:t>
            </w:r>
            <w:r w:rsidRPr="00B129A2">
              <w:rPr>
                <w:sz w:val="16"/>
              </w:rPr>
              <w:t>Re-</w:t>
            </w:r>
            <w:proofErr w:type="spellStart"/>
            <w:r w:rsidRPr="00B129A2">
              <w:rPr>
                <w:sz w:val="16"/>
              </w:rPr>
              <w:t>election</w:t>
            </w:r>
            <w:proofErr w:type="spellEnd"/>
            <w:r w:rsidRPr="00B129A2">
              <w:rPr>
                <w:sz w:val="16"/>
              </w:rPr>
              <w:t xml:space="preserve"> </w:t>
            </w:r>
            <w:proofErr w:type="spellStart"/>
            <w:r w:rsidRPr="00B129A2">
              <w:rPr>
                <w:sz w:val="16"/>
              </w:rPr>
              <w:t>is</w:t>
            </w:r>
            <w:proofErr w:type="spellEnd"/>
            <w:r w:rsidRPr="00B129A2">
              <w:rPr>
                <w:sz w:val="16"/>
              </w:rPr>
              <w:t xml:space="preserve"> </w:t>
            </w:r>
            <w:proofErr w:type="spellStart"/>
            <w:r w:rsidRPr="00B129A2">
              <w:rPr>
                <w:sz w:val="16"/>
              </w:rPr>
              <w:t>permitted</w:t>
            </w:r>
            <w:proofErr w:type="spellEnd"/>
            <w:r w:rsidRPr="00B129A2">
              <w:rPr>
                <w:sz w:val="16"/>
              </w:rPr>
              <w:t>.</w:t>
            </w:r>
          </w:p>
        </w:tc>
      </w:tr>
      <w:tr w:rsidR="002F537E" w:rsidRPr="00937FAC" w14:paraId="08682677" w14:textId="77777777" w:rsidTr="00846CDA">
        <w:trPr>
          <w:trHeight w:val="540"/>
        </w:trPr>
        <w:tc>
          <w:tcPr>
            <w:tcW w:w="4962" w:type="dxa"/>
          </w:tcPr>
          <w:p w14:paraId="21E1B56F" w14:textId="44A77C2C" w:rsidR="002F537E" w:rsidRPr="0007237E" w:rsidRDefault="002F537E" w:rsidP="00C825D6">
            <w:pPr>
              <w:pStyle w:val="BodyText2"/>
              <w:numPr>
                <w:ilvl w:val="0"/>
                <w:numId w:val="20"/>
              </w:numPr>
              <w:spacing w:before="60"/>
              <w:ind w:left="425" w:hanging="425"/>
              <w:rPr>
                <w:sz w:val="16"/>
              </w:rPr>
            </w:pPr>
            <w:r w:rsidRPr="001C67C4">
              <w:rPr>
                <w:sz w:val="16"/>
              </w:rPr>
              <w:t>Der Verwaltungsrat konstituiert sich unter Vorbehalt der gesetzlichen und stat</w:t>
            </w:r>
            <w:r>
              <w:rPr>
                <w:sz w:val="16"/>
              </w:rPr>
              <w:t>utarischen Bestimmungen selbst.</w:t>
            </w:r>
          </w:p>
        </w:tc>
        <w:tc>
          <w:tcPr>
            <w:tcW w:w="596" w:type="dxa"/>
            <w:vMerge/>
          </w:tcPr>
          <w:p w14:paraId="6AFA24CF" w14:textId="77777777" w:rsidR="002F537E" w:rsidRPr="00937FAC" w:rsidRDefault="002F537E" w:rsidP="002F537E">
            <w:pPr>
              <w:pStyle w:val="BodyText2"/>
              <w:spacing w:before="60"/>
              <w:ind w:left="425" w:hanging="425"/>
              <w:rPr>
                <w:sz w:val="16"/>
              </w:rPr>
            </w:pPr>
          </w:p>
        </w:tc>
        <w:tc>
          <w:tcPr>
            <w:tcW w:w="5074" w:type="dxa"/>
          </w:tcPr>
          <w:p w14:paraId="19630FF7" w14:textId="4DBE74ED" w:rsidR="002F537E" w:rsidRPr="0007237E" w:rsidRDefault="002F537E" w:rsidP="00C825D6">
            <w:pPr>
              <w:pStyle w:val="BodyText2"/>
              <w:numPr>
                <w:ilvl w:val="0"/>
                <w:numId w:val="44"/>
              </w:numPr>
              <w:spacing w:before="60"/>
              <w:ind w:left="425" w:hanging="425"/>
              <w:rPr>
                <w:sz w:val="16"/>
                <w:lang w:val="en-US"/>
              </w:rPr>
            </w:pPr>
            <w:r w:rsidRPr="00B129A2">
              <w:rPr>
                <w:sz w:val="16"/>
                <w:lang w:val="en-US"/>
              </w:rPr>
              <w:t>The Board of Directors shall constitute itself, subject to the applicable provisions of law and of these Articles of Association.</w:t>
            </w:r>
          </w:p>
        </w:tc>
      </w:tr>
      <w:tr w:rsidR="002F537E" w:rsidRPr="00937FAC" w14:paraId="74100684" w14:textId="77777777" w:rsidTr="00846CDA">
        <w:trPr>
          <w:trHeight w:val="540"/>
        </w:trPr>
        <w:tc>
          <w:tcPr>
            <w:tcW w:w="4962" w:type="dxa"/>
          </w:tcPr>
          <w:p w14:paraId="1E984B65" w14:textId="05E95CF8" w:rsidR="002F537E" w:rsidRPr="001C67C4" w:rsidRDefault="002F537E" w:rsidP="00C825D6">
            <w:pPr>
              <w:pStyle w:val="BodyText2"/>
              <w:numPr>
                <w:ilvl w:val="0"/>
                <w:numId w:val="20"/>
              </w:numPr>
              <w:spacing w:before="60"/>
              <w:ind w:left="425" w:hanging="425"/>
              <w:rPr>
                <w:sz w:val="16"/>
              </w:rPr>
            </w:pPr>
            <w:r w:rsidRPr="00E4187C">
              <w:rPr>
                <w:sz w:val="16"/>
              </w:rPr>
              <w:t>Fällt der Präsident aus oder hat die Gesellschaft aus anderen Gründen keinen handlungs- und funktionsfähigen Präsidenten, so ernennt der Verwaltungsrat eines seiner Mitglieder zum Präsidenten bis zur nächsten ordentlichen Generalversammlung; die Einberufung einer Generalversammlung nach Art. 726 Abs. 2 OR bleibt vorbehalten.</w:t>
            </w:r>
          </w:p>
        </w:tc>
        <w:tc>
          <w:tcPr>
            <w:tcW w:w="596" w:type="dxa"/>
            <w:vMerge/>
          </w:tcPr>
          <w:p w14:paraId="539122F4" w14:textId="77777777" w:rsidR="002F537E" w:rsidRPr="00937FAC" w:rsidRDefault="002F537E" w:rsidP="002F537E">
            <w:pPr>
              <w:pStyle w:val="BodyText2"/>
              <w:spacing w:before="60"/>
              <w:ind w:left="425" w:hanging="425"/>
              <w:rPr>
                <w:sz w:val="16"/>
              </w:rPr>
            </w:pPr>
          </w:p>
        </w:tc>
        <w:tc>
          <w:tcPr>
            <w:tcW w:w="5074" w:type="dxa"/>
          </w:tcPr>
          <w:p w14:paraId="01F6CC80" w14:textId="43A4DB65" w:rsidR="002F537E" w:rsidRPr="0007237E" w:rsidRDefault="002F537E" w:rsidP="00C825D6">
            <w:pPr>
              <w:pStyle w:val="BodyText2"/>
              <w:numPr>
                <w:ilvl w:val="0"/>
                <w:numId w:val="44"/>
              </w:numPr>
              <w:spacing w:before="60"/>
              <w:ind w:left="425" w:hanging="425"/>
              <w:rPr>
                <w:sz w:val="16"/>
                <w:lang w:val="en-GB"/>
              </w:rPr>
            </w:pPr>
            <w:r w:rsidRPr="00B129A2">
              <w:rPr>
                <w:sz w:val="16"/>
                <w:lang w:val="en-US"/>
              </w:rPr>
              <w:t>If the Chairman is not able to continue to hold office or if the Company does not have a Chairman capable of acting and of holding office for other reasons, then the Board of Directors shall appoint one of its members as Chairman until the next ordinary General Meeting; the calling of a General Meeting in accordance with Art. 726 paragraph 2 of the Swiss Code of Obligations is reserved.</w:t>
            </w:r>
          </w:p>
        </w:tc>
      </w:tr>
      <w:tr w:rsidR="002F537E" w:rsidRPr="00C45063" w14:paraId="4DBC450E" w14:textId="77777777" w:rsidTr="00846CDA">
        <w:tc>
          <w:tcPr>
            <w:tcW w:w="4962" w:type="dxa"/>
          </w:tcPr>
          <w:p w14:paraId="0148FD51" w14:textId="77777777" w:rsidR="002F537E" w:rsidRDefault="002F537E" w:rsidP="002F537E">
            <w:pPr>
              <w:jc w:val="center"/>
              <w:rPr>
                <w:rFonts w:ascii="Verdana" w:hAnsi="Verdana"/>
                <w:b/>
                <w:sz w:val="16"/>
                <w:lang w:val="en-US"/>
              </w:rPr>
            </w:pPr>
          </w:p>
          <w:p w14:paraId="70A91C2D" w14:textId="0020B193" w:rsidR="002F537E" w:rsidRPr="00C45063" w:rsidRDefault="002F537E" w:rsidP="002F537E">
            <w:pPr>
              <w:jc w:val="center"/>
              <w:rPr>
                <w:rFonts w:ascii="Verdana" w:hAnsi="Verdana"/>
                <w:b/>
                <w:sz w:val="16"/>
                <w:lang w:val="en-US"/>
              </w:rPr>
            </w:pPr>
            <w:r w:rsidRPr="00C45063">
              <w:rPr>
                <w:rFonts w:ascii="Verdana" w:hAnsi="Verdana"/>
                <w:b/>
                <w:sz w:val="16"/>
                <w:lang w:val="en-US"/>
              </w:rPr>
              <w:t>Art. 19</w:t>
            </w:r>
          </w:p>
          <w:p w14:paraId="4C139553" w14:textId="77777777" w:rsidR="002F537E" w:rsidRDefault="002F537E" w:rsidP="002F537E">
            <w:pPr>
              <w:jc w:val="center"/>
              <w:rPr>
                <w:rFonts w:ascii="Verdana" w:hAnsi="Verdana"/>
                <w:b/>
                <w:sz w:val="16"/>
                <w:lang w:val="en-US"/>
              </w:rPr>
            </w:pPr>
            <w:proofErr w:type="spellStart"/>
            <w:r w:rsidRPr="00C45063">
              <w:rPr>
                <w:rFonts w:ascii="Verdana" w:hAnsi="Verdana"/>
                <w:b/>
                <w:sz w:val="16"/>
                <w:lang w:val="en-US"/>
              </w:rPr>
              <w:t>Befugnisse</w:t>
            </w:r>
            <w:proofErr w:type="spellEnd"/>
            <w:r w:rsidRPr="00C45063">
              <w:rPr>
                <w:rFonts w:ascii="Verdana" w:hAnsi="Verdana"/>
                <w:b/>
                <w:sz w:val="16"/>
                <w:lang w:val="en-US"/>
              </w:rPr>
              <w:t xml:space="preserve"> des </w:t>
            </w:r>
            <w:proofErr w:type="spellStart"/>
            <w:r w:rsidRPr="00C45063">
              <w:rPr>
                <w:rFonts w:ascii="Verdana" w:hAnsi="Verdana"/>
                <w:b/>
                <w:sz w:val="16"/>
                <w:lang w:val="en-US"/>
              </w:rPr>
              <w:t>Verwaltungsrates</w:t>
            </w:r>
            <w:proofErr w:type="spellEnd"/>
          </w:p>
          <w:p w14:paraId="22AAEA2D" w14:textId="682AC6A5" w:rsidR="002F537E" w:rsidRPr="00C45063" w:rsidRDefault="002F537E" w:rsidP="002F537E">
            <w:pPr>
              <w:jc w:val="center"/>
              <w:rPr>
                <w:rFonts w:ascii="Verdana" w:hAnsi="Verdana"/>
                <w:b/>
                <w:sz w:val="16"/>
                <w:lang w:val="en-US"/>
              </w:rPr>
            </w:pPr>
          </w:p>
        </w:tc>
        <w:tc>
          <w:tcPr>
            <w:tcW w:w="596" w:type="dxa"/>
          </w:tcPr>
          <w:p w14:paraId="11E695B2" w14:textId="77777777" w:rsidR="002F537E" w:rsidRPr="00C45063" w:rsidRDefault="002F537E" w:rsidP="002F537E">
            <w:pPr>
              <w:jc w:val="center"/>
              <w:rPr>
                <w:rFonts w:ascii="Verdana" w:hAnsi="Verdana"/>
                <w:b/>
                <w:sz w:val="16"/>
                <w:lang w:val="en-US"/>
              </w:rPr>
            </w:pPr>
          </w:p>
        </w:tc>
        <w:tc>
          <w:tcPr>
            <w:tcW w:w="5074" w:type="dxa"/>
          </w:tcPr>
          <w:p w14:paraId="0F03EAAC" w14:textId="77777777" w:rsidR="002F537E" w:rsidRDefault="002F537E" w:rsidP="002F537E">
            <w:pPr>
              <w:jc w:val="center"/>
              <w:rPr>
                <w:rFonts w:ascii="Verdana" w:hAnsi="Verdana"/>
                <w:b/>
                <w:sz w:val="16"/>
                <w:lang w:val="en-US"/>
              </w:rPr>
            </w:pPr>
          </w:p>
          <w:p w14:paraId="45083B1F" w14:textId="26546719" w:rsidR="002F537E" w:rsidRPr="00B129A2" w:rsidRDefault="002F537E" w:rsidP="002F537E">
            <w:pPr>
              <w:jc w:val="center"/>
              <w:rPr>
                <w:rFonts w:ascii="Verdana" w:hAnsi="Verdana"/>
                <w:b/>
                <w:sz w:val="16"/>
                <w:lang w:val="en-US"/>
              </w:rPr>
            </w:pPr>
            <w:r w:rsidRPr="00B129A2">
              <w:rPr>
                <w:rFonts w:ascii="Verdana" w:hAnsi="Verdana"/>
                <w:b/>
                <w:sz w:val="16"/>
                <w:lang w:val="en-US"/>
              </w:rPr>
              <w:t>Art. 19</w:t>
            </w:r>
          </w:p>
          <w:p w14:paraId="67D0F25F" w14:textId="77777777" w:rsidR="002F537E" w:rsidRPr="00B129A2" w:rsidRDefault="002F537E" w:rsidP="002F537E">
            <w:pPr>
              <w:jc w:val="center"/>
              <w:rPr>
                <w:rFonts w:ascii="Verdana" w:hAnsi="Verdana"/>
                <w:b/>
                <w:sz w:val="16"/>
                <w:lang w:val="en-US"/>
              </w:rPr>
            </w:pPr>
            <w:r w:rsidRPr="00B129A2">
              <w:rPr>
                <w:rFonts w:ascii="Verdana" w:hAnsi="Verdana"/>
                <w:b/>
                <w:sz w:val="16"/>
                <w:lang w:val="en-US"/>
              </w:rPr>
              <w:t>Powers of the Board of Directors</w:t>
            </w:r>
          </w:p>
          <w:p w14:paraId="55EF05BF" w14:textId="77777777" w:rsidR="002F537E" w:rsidRPr="00C45063" w:rsidRDefault="002F537E" w:rsidP="002F537E">
            <w:pPr>
              <w:jc w:val="center"/>
              <w:rPr>
                <w:rFonts w:ascii="Verdana" w:hAnsi="Verdana"/>
                <w:b/>
                <w:sz w:val="16"/>
                <w:lang w:val="en-US"/>
              </w:rPr>
            </w:pPr>
          </w:p>
        </w:tc>
      </w:tr>
      <w:tr w:rsidR="002F537E" w:rsidRPr="00937FAC" w14:paraId="62217018" w14:textId="77777777" w:rsidTr="00846CDA">
        <w:trPr>
          <w:trHeight w:val="322"/>
        </w:trPr>
        <w:tc>
          <w:tcPr>
            <w:tcW w:w="4962" w:type="dxa"/>
          </w:tcPr>
          <w:p w14:paraId="65A7014E" w14:textId="5D8CC14E" w:rsidR="002F537E" w:rsidRPr="003331D5" w:rsidRDefault="002F537E" w:rsidP="00C825D6">
            <w:pPr>
              <w:pStyle w:val="BodyText2"/>
              <w:numPr>
                <w:ilvl w:val="0"/>
                <w:numId w:val="30"/>
              </w:numPr>
              <w:spacing w:before="60"/>
              <w:ind w:left="425" w:hanging="425"/>
              <w:rPr>
                <w:sz w:val="16"/>
              </w:rPr>
            </w:pPr>
            <w:r w:rsidRPr="001C67C4">
              <w:rPr>
                <w:sz w:val="16"/>
              </w:rPr>
              <w:t xml:space="preserve">Dem Verwaltungsrat obliegt die oberste Leitung der Gesellschaft und die Überwachung der Geschäftsführung. Er vertritt die Gesellschaft nach aussen und besorgt alle Angelegenheiten, die nicht nach Gesetz, Statuten oder </w:t>
            </w:r>
            <w:r>
              <w:rPr>
                <w:sz w:val="16"/>
              </w:rPr>
              <w:t>Organisationsreglement einem anderen Organ der Gesell</w:t>
            </w:r>
            <w:r w:rsidRPr="001C67C4">
              <w:rPr>
                <w:sz w:val="16"/>
              </w:rPr>
              <w:t xml:space="preserve">schaft übertragen sind. </w:t>
            </w:r>
          </w:p>
        </w:tc>
        <w:tc>
          <w:tcPr>
            <w:tcW w:w="596" w:type="dxa"/>
            <w:vMerge w:val="restart"/>
          </w:tcPr>
          <w:p w14:paraId="52E9EDFE" w14:textId="77777777" w:rsidR="002F537E" w:rsidRPr="00937FAC" w:rsidRDefault="002F537E" w:rsidP="002F537E">
            <w:pPr>
              <w:pStyle w:val="BodyText2"/>
              <w:spacing w:before="60"/>
              <w:ind w:left="425" w:hanging="425"/>
              <w:rPr>
                <w:sz w:val="16"/>
              </w:rPr>
            </w:pPr>
          </w:p>
        </w:tc>
        <w:tc>
          <w:tcPr>
            <w:tcW w:w="5074" w:type="dxa"/>
          </w:tcPr>
          <w:p w14:paraId="79919C2D" w14:textId="03DAE557" w:rsidR="002F537E" w:rsidRPr="001C7B99" w:rsidRDefault="002F537E" w:rsidP="00C825D6">
            <w:pPr>
              <w:pStyle w:val="BodyText2"/>
              <w:numPr>
                <w:ilvl w:val="0"/>
                <w:numId w:val="45"/>
              </w:numPr>
              <w:spacing w:before="60"/>
              <w:ind w:left="425" w:hanging="425"/>
              <w:rPr>
                <w:sz w:val="16"/>
                <w:lang w:val="en-US"/>
              </w:rPr>
            </w:pPr>
            <w:r w:rsidRPr="00B129A2">
              <w:rPr>
                <w:sz w:val="16"/>
                <w:lang w:val="en-US"/>
              </w:rPr>
              <w:t xml:space="preserve">The Board of Directors is entrusted with supreme managerial responsibility for the Company and with the supervision of its conduct of business. The Board represents the Company to the outside </w:t>
            </w:r>
            <w:proofErr w:type="gramStart"/>
            <w:r w:rsidRPr="00B129A2">
              <w:rPr>
                <w:sz w:val="16"/>
                <w:lang w:val="en-US"/>
              </w:rPr>
              <w:t>world, and</w:t>
            </w:r>
            <w:proofErr w:type="gramEnd"/>
            <w:r w:rsidRPr="00B129A2">
              <w:rPr>
                <w:sz w:val="16"/>
                <w:lang w:val="en-US"/>
              </w:rPr>
              <w:t xml:space="preserve"> attends to all matters that are not assigned by law, the Articles of Association or the Company bylaws to another executive body of the Company.</w:t>
            </w:r>
          </w:p>
        </w:tc>
      </w:tr>
      <w:tr w:rsidR="00F05BF7" w:rsidRPr="00937FAC" w14:paraId="104C0A00" w14:textId="77777777" w:rsidTr="00846CDA">
        <w:trPr>
          <w:trHeight w:val="322"/>
        </w:trPr>
        <w:tc>
          <w:tcPr>
            <w:tcW w:w="4962" w:type="dxa"/>
          </w:tcPr>
          <w:p w14:paraId="3A2F00D1" w14:textId="50CF67C4" w:rsidR="00F05BF7" w:rsidRPr="001C67C4" w:rsidRDefault="00F05BF7" w:rsidP="00C825D6">
            <w:pPr>
              <w:pStyle w:val="BodyText2"/>
              <w:numPr>
                <w:ilvl w:val="0"/>
                <w:numId w:val="30"/>
              </w:numPr>
              <w:spacing w:before="60"/>
              <w:ind w:left="425" w:hanging="425"/>
              <w:rPr>
                <w:sz w:val="16"/>
              </w:rPr>
            </w:pPr>
            <w:r>
              <w:rPr>
                <w:sz w:val="16"/>
              </w:rPr>
              <w:t>Im Rahmen seiner Befugnisse und Aufgaben und der damit verbundenen Entscheidfindung berücksichtigt</w:t>
            </w:r>
            <w:r w:rsidRPr="00557FFE">
              <w:rPr>
                <w:sz w:val="16"/>
              </w:rPr>
              <w:t xml:space="preserve"> der Verwaltungsrat die kurz- und langfristigen Interessen der Gesellschaft, ihrer Tochtergesellschaften und ihrer Zulieferer sowie den Zweck der Gesellschaft</w:t>
            </w:r>
            <w:r>
              <w:rPr>
                <w:sz w:val="16"/>
              </w:rPr>
              <w:t xml:space="preserve"> gemäss Artikel </w:t>
            </w:r>
            <w:r w:rsidR="00A53F20">
              <w:rPr>
                <w:sz w:val="16"/>
              </w:rPr>
              <w:t>2</w:t>
            </w:r>
            <w:r>
              <w:rPr>
                <w:sz w:val="16"/>
              </w:rPr>
              <w:t xml:space="preserve"> Abs. 3 dieser Statuten</w:t>
            </w:r>
            <w:r w:rsidRPr="00557FFE">
              <w:rPr>
                <w:sz w:val="16"/>
              </w:rPr>
              <w:t xml:space="preserve">, </w:t>
            </w:r>
            <w:r w:rsidRPr="003E3398">
              <w:rPr>
                <w:sz w:val="16"/>
              </w:rPr>
              <w:t>wesentliche Auswirkungen auf Gesellschaft und Umwelt zu erzielen, sowie die Auswirkungen ihres Handelns gegenüber den relevanten Interessengruppen, unter anderem (i)</w:t>
            </w:r>
            <w:r w:rsidR="00D934EE" w:rsidRPr="003E3398">
              <w:rPr>
                <w:sz w:val="16"/>
              </w:rPr>
              <w:t> </w:t>
            </w:r>
            <w:r w:rsidRPr="003E3398">
              <w:rPr>
                <w:sz w:val="16"/>
              </w:rPr>
              <w:t>ihren Aktionärinnen und Aktionären</w:t>
            </w:r>
            <w:r w:rsidR="00D934EE" w:rsidRPr="003E3398">
              <w:rPr>
                <w:sz w:val="16"/>
              </w:rPr>
              <w:t>,</w:t>
            </w:r>
            <w:r w:rsidRPr="003E3398">
              <w:rPr>
                <w:sz w:val="16"/>
              </w:rPr>
              <w:t xml:space="preserve"> (ii) ihren Mitarbeiterinnen und Mitarbeitern, (iii) ihre Kunden, (iv) der Regionen und Gemeinschaften</w:t>
            </w:r>
            <w:r w:rsidR="00D934EE" w:rsidRPr="003E3398">
              <w:rPr>
                <w:sz w:val="16"/>
              </w:rPr>
              <w:t>,</w:t>
            </w:r>
            <w:r w:rsidRPr="003E3398">
              <w:rPr>
                <w:sz w:val="16"/>
              </w:rPr>
              <w:t xml:space="preserve"> in denen sie tätig sind, und (v) der Umwelt. Nichts in diesem Art</w:t>
            </w:r>
            <w:r w:rsidR="00EE5D65" w:rsidRPr="003E3398">
              <w:rPr>
                <w:sz w:val="16"/>
              </w:rPr>
              <w:t>.</w:t>
            </w:r>
            <w:r w:rsidR="00D934EE" w:rsidRPr="003E3398">
              <w:rPr>
                <w:sz w:val="16"/>
              </w:rPr>
              <w:t> 19 Abs. </w:t>
            </w:r>
            <w:r w:rsidR="00EE5D65" w:rsidRPr="003E3398">
              <w:rPr>
                <w:sz w:val="16"/>
              </w:rPr>
              <w:t>2</w:t>
            </w:r>
            <w:r w:rsidRPr="003E3398">
              <w:rPr>
                <w:sz w:val="16"/>
              </w:rPr>
              <w:t>, weder ausdrücklich noch</w:t>
            </w:r>
            <w:r w:rsidRPr="00557FFE">
              <w:rPr>
                <w:sz w:val="16"/>
              </w:rPr>
              <w:t xml:space="preserve"> </w:t>
            </w:r>
            <w:proofErr w:type="gramStart"/>
            <w:r w:rsidRPr="00557FFE">
              <w:rPr>
                <w:sz w:val="16"/>
              </w:rPr>
              <w:t>stillschweige</w:t>
            </w:r>
            <w:r w:rsidR="00D934EE">
              <w:rPr>
                <w:sz w:val="16"/>
              </w:rPr>
              <w:t>nd</w:t>
            </w:r>
            <w:proofErr w:type="gramEnd"/>
            <w:r w:rsidR="00D934EE">
              <w:rPr>
                <w:sz w:val="16"/>
              </w:rPr>
              <w:t xml:space="preserve">, </w:t>
            </w:r>
            <w:r w:rsidRPr="00557FFE">
              <w:rPr>
                <w:sz w:val="16"/>
              </w:rPr>
              <w:t>ist dazu bestimmt</w:t>
            </w:r>
            <w:r w:rsidR="00EE5D65">
              <w:rPr>
                <w:sz w:val="16"/>
              </w:rPr>
              <w:t xml:space="preserve">, </w:t>
            </w:r>
            <w:r w:rsidRPr="00557FFE">
              <w:rPr>
                <w:sz w:val="16"/>
              </w:rPr>
              <w:t>oder soll</w:t>
            </w:r>
            <w:r w:rsidR="00EE5D65">
              <w:rPr>
                <w:sz w:val="16"/>
              </w:rPr>
              <w:t>,</w:t>
            </w:r>
            <w:r w:rsidRPr="00557FFE">
              <w:rPr>
                <w:sz w:val="16"/>
              </w:rPr>
              <w:t xml:space="preserve"> einer Person</w:t>
            </w:r>
            <w:r w:rsidR="00D35C3E">
              <w:rPr>
                <w:sz w:val="16"/>
              </w:rPr>
              <w:t xml:space="preserve"> (mit Ausnahme der Gesellschaft)</w:t>
            </w:r>
            <w:r w:rsidRPr="00557FFE">
              <w:rPr>
                <w:sz w:val="16"/>
              </w:rPr>
              <w:t xml:space="preserve"> ein Recht oder einen Klagegrund </w:t>
            </w:r>
            <w:r w:rsidR="00EE5D65">
              <w:rPr>
                <w:sz w:val="16"/>
              </w:rPr>
              <w:t>(zu) ver</w:t>
            </w:r>
            <w:r w:rsidRPr="00557FFE">
              <w:rPr>
                <w:sz w:val="16"/>
              </w:rPr>
              <w:t xml:space="preserve">schaffen oder </w:t>
            </w:r>
            <w:r w:rsidR="00EE5D65">
              <w:rPr>
                <w:sz w:val="16"/>
              </w:rPr>
              <w:t xml:space="preserve">(zu) </w:t>
            </w:r>
            <w:r w:rsidRPr="00557FFE">
              <w:rPr>
                <w:sz w:val="16"/>
              </w:rPr>
              <w:t>g</w:t>
            </w:r>
            <w:r>
              <w:rPr>
                <w:sz w:val="16"/>
              </w:rPr>
              <w:t>e</w:t>
            </w:r>
            <w:r w:rsidRPr="00557FFE">
              <w:rPr>
                <w:sz w:val="16"/>
              </w:rPr>
              <w:t>währen</w:t>
            </w:r>
            <w:r w:rsidR="00EE5D65">
              <w:rPr>
                <w:sz w:val="16"/>
              </w:rPr>
              <w:t>.</w:t>
            </w:r>
          </w:p>
        </w:tc>
        <w:tc>
          <w:tcPr>
            <w:tcW w:w="596" w:type="dxa"/>
            <w:vMerge/>
          </w:tcPr>
          <w:p w14:paraId="383F277F" w14:textId="77777777" w:rsidR="00F05BF7" w:rsidRPr="00937FAC" w:rsidRDefault="00F05BF7" w:rsidP="002F537E">
            <w:pPr>
              <w:pStyle w:val="BodyText2"/>
              <w:spacing w:before="60"/>
              <w:ind w:left="425" w:hanging="425"/>
              <w:rPr>
                <w:sz w:val="16"/>
              </w:rPr>
            </w:pPr>
          </w:p>
        </w:tc>
        <w:tc>
          <w:tcPr>
            <w:tcW w:w="5074" w:type="dxa"/>
          </w:tcPr>
          <w:p w14:paraId="69DAF73F" w14:textId="6DE68217" w:rsidR="00F05BF7" w:rsidRPr="00B129A2" w:rsidRDefault="00D934EE" w:rsidP="00C825D6">
            <w:pPr>
              <w:pStyle w:val="BodyText2"/>
              <w:numPr>
                <w:ilvl w:val="0"/>
                <w:numId w:val="45"/>
              </w:numPr>
              <w:spacing w:before="60"/>
              <w:ind w:left="425" w:hanging="425"/>
              <w:rPr>
                <w:sz w:val="16"/>
                <w:lang w:val="en-US"/>
              </w:rPr>
            </w:pPr>
            <w:r>
              <w:rPr>
                <w:sz w:val="16"/>
                <w:lang w:val="en-US"/>
              </w:rPr>
              <w:t>In connection with its powers and responsibilities and the decision processing ensuing therefrom</w:t>
            </w:r>
            <w:r w:rsidRPr="00557FFE">
              <w:rPr>
                <w:sz w:val="16"/>
                <w:lang w:val="en-US"/>
              </w:rPr>
              <w:t xml:space="preserve">, the Board of </w:t>
            </w:r>
            <w:r>
              <w:rPr>
                <w:sz w:val="16"/>
                <w:lang w:val="en-US"/>
              </w:rPr>
              <w:t>D</w:t>
            </w:r>
            <w:r w:rsidRPr="00557FFE">
              <w:rPr>
                <w:sz w:val="16"/>
                <w:lang w:val="en-US"/>
              </w:rPr>
              <w:t xml:space="preserve">irectors shall </w:t>
            </w:r>
            <w:proofErr w:type="gramStart"/>
            <w:r w:rsidRPr="00557FFE">
              <w:rPr>
                <w:sz w:val="16"/>
                <w:lang w:val="en-US"/>
              </w:rPr>
              <w:t>take into account</w:t>
            </w:r>
            <w:proofErr w:type="gramEnd"/>
            <w:r w:rsidRPr="00557FFE">
              <w:rPr>
                <w:sz w:val="16"/>
                <w:lang w:val="en-US"/>
              </w:rPr>
              <w:t xml:space="preserve"> the short- and long-term</w:t>
            </w:r>
            <w:r>
              <w:rPr>
                <w:sz w:val="16"/>
                <w:lang w:val="en-US"/>
              </w:rPr>
              <w:t xml:space="preserve"> i</w:t>
            </w:r>
            <w:r w:rsidRPr="00557FFE">
              <w:rPr>
                <w:sz w:val="16"/>
                <w:lang w:val="en-US"/>
              </w:rPr>
              <w:t xml:space="preserve">nterests of the Company, its subsidiaries and their suppliers, and the </w:t>
            </w:r>
            <w:r>
              <w:rPr>
                <w:sz w:val="16"/>
                <w:lang w:val="en-US"/>
              </w:rPr>
              <w:t>purpose</w:t>
            </w:r>
            <w:r w:rsidRPr="00557FFE">
              <w:rPr>
                <w:sz w:val="16"/>
                <w:lang w:val="en-US"/>
              </w:rPr>
              <w:t xml:space="preserve"> of the Company </w:t>
            </w:r>
            <w:r>
              <w:rPr>
                <w:sz w:val="16"/>
                <w:lang w:val="en-US"/>
              </w:rPr>
              <w:t>pursuant to Article </w:t>
            </w:r>
            <w:r w:rsidR="00A53F20">
              <w:rPr>
                <w:sz w:val="16"/>
                <w:lang w:val="en-US"/>
              </w:rPr>
              <w:t>2</w:t>
            </w:r>
            <w:r>
              <w:rPr>
                <w:sz w:val="16"/>
                <w:lang w:val="en-US"/>
              </w:rPr>
              <w:t xml:space="preserve"> para. 3 </w:t>
            </w:r>
            <w:r w:rsidRPr="00557FFE">
              <w:rPr>
                <w:sz w:val="16"/>
                <w:lang w:val="en-US"/>
              </w:rPr>
              <w:t>to create a positive impact on society and the environment as well as the impact of their actions towards the relevant stakeholders, amongst</w:t>
            </w:r>
            <w:r>
              <w:rPr>
                <w:sz w:val="16"/>
                <w:lang w:val="en-US"/>
              </w:rPr>
              <w:t xml:space="preserve"> </w:t>
            </w:r>
            <w:r w:rsidRPr="00557FFE">
              <w:rPr>
                <w:sz w:val="16"/>
                <w:lang w:val="en-US"/>
              </w:rPr>
              <w:t>others: (</w:t>
            </w:r>
            <w:proofErr w:type="spellStart"/>
            <w:r w:rsidRPr="00557FFE">
              <w:rPr>
                <w:sz w:val="16"/>
                <w:lang w:val="en-US"/>
              </w:rPr>
              <w:t>i</w:t>
            </w:r>
            <w:proofErr w:type="spellEnd"/>
            <w:r w:rsidRPr="00557FFE">
              <w:rPr>
                <w:sz w:val="16"/>
                <w:lang w:val="en-US"/>
              </w:rPr>
              <w:t>)</w:t>
            </w:r>
            <w:r>
              <w:rPr>
                <w:sz w:val="16"/>
                <w:lang w:val="en-US"/>
              </w:rPr>
              <w:t> </w:t>
            </w:r>
            <w:r w:rsidRPr="00D35C3E">
              <w:rPr>
                <w:sz w:val="16"/>
                <w:lang w:val="en-US"/>
              </w:rPr>
              <w:t>their shareholders</w:t>
            </w:r>
            <w:r>
              <w:rPr>
                <w:sz w:val="16"/>
                <w:lang w:val="en-US"/>
              </w:rPr>
              <w:t>, (ii) </w:t>
            </w:r>
            <w:r w:rsidRPr="00557FFE">
              <w:rPr>
                <w:sz w:val="16"/>
                <w:lang w:val="en-US"/>
              </w:rPr>
              <w:t>their employees and their workforce, (i</w:t>
            </w:r>
            <w:r>
              <w:rPr>
                <w:sz w:val="16"/>
                <w:lang w:val="en-US"/>
              </w:rPr>
              <w:t>i</w:t>
            </w:r>
            <w:r w:rsidRPr="00557FFE">
              <w:rPr>
                <w:sz w:val="16"/>
                <w:lang w:val="en-US"/>
              </w:rPr>
              <w:t>i)</w:t>
            </w:r>
            <w:r>
              <w:rPr>
                <w:sz w:val="16"/>
                <w:lang w:val="en-US"/>
              </w:rPr>
              <w:t> </w:t>
            </w:r>
            <w:r w:rsidRPr="00557FFE">
              <w:rPr>
                <w:sz w:val="16"/>
                <w:lang w:val="en-US"/>
              </w:rPr>
              <w:t>their customers, (</w:t>
            </w:r>
            <w:r>
              <w:rPr>
                <w:sz w:val="16"/>
                <w:lang w:val="en-US"/>
              </w:rPr>
              <w:t>iv</w:t>
            </w:r>
            <w:r w:rsidRPr="00557FFE">
              <w:rPr>
                <w:sz w:val="16"/>
                <w:lang w:val="en-US"/>
              </w:rPr>
              <w:t>)</w:t>
            </w:r>
            <w:r>
              <w:rPr>
                <w:sz w:val="16"/>
                <w:lang w:val="en-US"/>
              </w:rPr>
              <w:t> </w:t>
            </w:r>
            <w:r w:rsidRPr="00557FFE">
              <w:rPr>
                <w:sz w:val="16"/>
                <w:lang w:val="en-US"/>
              </w:rPr>
              <w:t>the regions and communities in which they are active</w:t>
            </w:r>
            <w:r>
              <w:rPr>
                <w:sz w:val="16"/>
                <w:lang w:val="en-US"/>
              </w:rPr>
              <w:t xml:space="preserve"> </w:t>
            </w:r>
            <w:r w:rsidRPr="00557FFE">
              <w:rPr>
                <w:sz w:val="16"/>
                <w:lang w:val="en-US"/>
              </w:rPr>
              <w:t>and (v)</w:t>
            </w:r>
            <w:r>
              <w:rPr>
                <w:sz w:val="16"/>
                <w:lang w:val="en-US"/>
              </w:rPr>
              <w:t> </w:t>
            </w:r>
            <w:r w:rsidRPr="00557FFE">
              <w:rPr>
                <w:sz w:val="16"/>
                <w:lang w:val="en-US"/>
              </w:rPr>
              <w:t>the environment. Nothing in this Art</w:t>
            </w:r>
            <w:r w:rsidR="00EE5D65">
              <w:rPr>
                <w:sz w:val="16"/>
                <w:lang w:val="en-US"/>
              </w:rPr>
              <w:t>. 19 para. 2</w:t>
            </w:r>
            <w:r>
              <w:rPr>
                <w:sz w:val="16"/>
                <w:lang w:val="en-US"/>
              </w:rPr>
              <w:t>, whether</w:t>
            </w:r>
            <w:r w:rsidRPr="00557FFE">
              <w:rPr>
                <w:sz w:val="16"/>
                <w:lang w:val="en-US"/>
              </w:rPr>
              <w:t xml:space="preserve"> express</w:t>
            </w:r>
            <w:r>
              <w:rPr>
                <w:sz w:val="16"/>
                <w:lang w:val="en-US"/>
              </w:rPr>
              <w:t>ly</w:t>
            </w:r>
            <w:r w:rsidRPr="00557FFE">
              <w:rPr>
                <w:sz w:val="16"/>
                <w:lang w:val="en-US"/>
              </w:rPr>
              <w:t xml:space="preserve"> or </w:t>
            </w:r>
            <w:r>
              <w:rPr>
                <w:sz w:val="16"/>
                <w:lang w:val="en-US"/>
              </w:rPr>
              <w:t xml:space="preserve">implicitly, </w:t>
            </w:r>
            <w:r w:rsidRPr="00557FFE">
              <w:rPr>
                <w:sz w:val="16"/>
                <w:lang w:val="en-US"/>
              </w:rPr>
              <w:t>is intended to or shall create</w:t>
            </w:r>
            <w:r>
              <w:rPr>
                <w:sz w:val="16"/>
                <w:lang w:val="en-US"/>
              </w:rPr>
              <w:t xml:space="preserve"> </w:t>
            </w:r>
            <w:r w:rsidRPr="00557FFE">
              <w:rPr>
                <w:sz w:val="16"/>
                <w:lang w:val="en-US"/>
              </w:rPr>
              <w:t>or grant any right or any cause of action to, by or for any person</w:t>
            </w:r>
            <w:r w:rsidR="00D35C3E">
              <w:rPr>
                <w:sz w:val="16"/>
                <w:lang w:val="en-US"/>
              </w:rPr>
              <w:t xml:space="preserve"> (other than the Company)</w:t>
            </w:r>
            <w:r w:rsidRPr="00557FFE">
              <w:rPr>
                <w:sz w:val="16"/>
                <w:lang w:val="en-US"/>
              </w:rPr>
              <w:t>.</w:t>
            </w:r>
          </w:p>
        </w:tc>
      </w:tr>
      <w:tr w:rsidR="002F537E" w:rsidRPr="00937FAC" w14:paraId="6C9AF32E" w14:textId="77777777" w:rsidTr="00846CDA">
        <w:trPr>
          <w:trHeight w:val="318"/>
        </w:trPr>
        <w:tc>
          <w:tcPr>
            <w:tcW w:w="4962" w:type="dxa"/>
          </w:tcPr>
          <w:p w14:paraId="0D9A59C9" w14:textId="744FAEF1" w:rsidR="002F537E" w:rsidRPr="0007237E" w:rsidRDefault="002F537E" w:rsidP="00C825D6">
            <w:pPr>
              <w:pStyle w:val="BodyText2"/>
              <w:numPr>
                <w:ilvl w:val="0"/>
                <w:numId w:val="30"/>
              </w:numPr>
              <w:spacing w:before="60"/>
              <w:ind w:left="425" w:hanging="425"/>
              <w:rPr>
                <w:sz w:val="16"/>
              </w:rPr>
            </w:pPr>
            <w:r w:rsidRPr="001C67C4">
              <w:rPr>
                <w:sz w:val="16"/>
              </w:rPr>
              <w:t>Der Verwaltungsrat kann Befugnisse</w:t>
            </w:r>
            <w:r w:rsidR="007B1AA1">
              <w:rPr>
                <w:sz w:val="16"/>
              </w:rPr>
              <w:t xml:space="preserve"> und</w:t>
            </w:r>
            <w:r w:rsidR="00E02790">
              <w:rPr>
                <w:sz w:val="16"/>
              </w:rPr>
              <w:t xml:space="preserve"> </w:t>
            </w:r>
            <w:r w:rsidRPr="001C67C4">
              <w:rPr>
                <w:sz w:val="16"/>
              </w:rPr>
              <w:t>die Geschäftsführung oder einzelne Teile derselben nach Massgabe eines Organisationsreglements an Mitglieder, Ausschüsse oder Dritte, die nicht Aktionäre sein müssen (Geschäftsleitung), übertragen, sowe</w:t>
            </w:r>
            <w:r>
              <w:rPr>
                <w:sz w:val="16"/>
              </w:rPr>
              <w:t>it sie nicht durch zwingende ge</w:t>
            </w:r>
            <w:r w:rsidRPr="001C67C4">
              <w:rPr>
                <w:sz w:val="16"/>
              </w:rPr>
              <w:t xml:space="preserve">setzliche oder statutarische Bestimmungen ihm zugeordnet sind. </w:t>
            </w:r>
            <w:r>
              <w:rPr>
                <w:sz w:val="16"/>
              </w:rPr>
              <w:t>De</w:t>
            </w:r>
            <w:r w:rsidRPr="001C67C4">
              <w:rPr>
                <w:sz w:val="16"/>
              </w:rPr>
              <w:t>r</w:t>
            </w:r>
            <w:r>
              <w:rPr>
                <w:sz w:val="16"/>
              </w:rPr>
              <w:t xml:space="preserve"> Verwaltungsrat</w:t>
            </w:r>
            <w:r w:rsidRPr="001C67C4">
              <w:rPr>
                <w:sz w:val="16"/>
              </w:rPr>
              <w:t xml:space="preserve"> ordnet die entsprechenden Vertragsverhältnisse. </w:t>
            </w:r>
            <w:r w:rsidR="00A6453E">
              <w:rPr>
                <w:sz w:val="16"/>
              </w:rPr>
              <w:t xml:space="preserve">Soweit der Verwaltungsrat von seiner Delegationsermächtigung gemäss </w:t>
            </w:r>
            <w:r w:rsidR="00EE5D65">
              <w:rPr>
                <w:sz w:val="16"/>
              </w:rPr>
              <w:t>diesem Art. 19 Abs. </w:t>
            </w:r>
            <w:r w:rsidR="00B04DA8">
              <w:rPr>
                <w:sz w:val="16"/>
              </w:rPr>
              <w:t xml:space="preserve">3 </w:t>
            </w:r>
            <w:r w:rsidR="00A6453E">
              <w:rPr>
                <w:sz w:val="16"/>
              </w:rPr>
              <w:t xml:space="preserve">Gebrauch macht, gilt </w:t>
            </w:r>
            <w:r w:rsidR="00EE5D65">
              <w:rPr>
                <w:sz w:val="16"/>
              </w:rPr>
              <w:t>Art.</w:t>
            </w:r>
            <w:r w:rsidR="00A6453E">
              <w:rPr>
                <w:sz w:val="16"/>
              </w:rPr>
              <w:t xml:space="preserve"> 19 Abs. 2 für die Geschäftsleitung entsprechend. </w:t>
            </w:r>
          </w:p>
        </w:tc>
        <w:tc>
          <w:tcPr>
            <w:tcW w:w="596" w:type="dxa"/>
            <w:vMerge/>
          </w:tcPr>
          <w:p w14:paraId="75732458" w14:textId="77777777" w:rsidR="002F537E" w:rsidRPr="00937FAC" w:rsidRDefault="002F537E" w:rsidP="002F537E">
            <w:pPr>
              <w:pStyle w:val="BodyText2"/>
              <w:spacing w:before="60"/>
              <w:ind w:left="425" w:hanging="425"/>
              <w:rPr>
                <w:sz w:val="16"/>
              </w:rPr>
            </w:pPr>
          </w:p>
        </w:tc>
        <w:tc>
          <w:tcPr>
            <w:tcW w:w="5074" w:type="dxa"/>
          </w:tcPr>
          <w:p w14:paraId="5D464A3D" w14:textId="175480A6" w:rsidR="002F537E" w:rsidRPr="00E02790" w:rsidRDefault="002F537E" w:rsidP="00C825D6">
            <w:pPr>
              <w:pStyle w:val="BodyText2"/>
              <w:numPr>
                <w:ilvl w:val="0"/>
                <w:numId w:val="45"/>
              </w:numPr>
              <w:spacing w:before="60"/>
              <w:ind w:left="425" w:hanging="425"/>
              <w:rPr>
                <w:sz w:val="16"/>
                <w:lang w:val="en-US"/>
              </w:rPr>
            </w:pPr>
            <w:r w:rsidRPr="00B129A2">
              <w:rPr>
                <w:sz w:val="16"/>
                <w:lang w:val="en-US"/>
              </w:rPr>
              <w:t xml:space="preserve">The Board of Directors may delegate powers and the management of the Company or individual parts thereof, as set forth in the bylaws, to members, committees or to third parties who need not be shareholders (Group Executive Board), provided such affairs are not inalienably assigned to it by law or the Articles of Association. </w:t>
            </w:r>
            <w:r w:rsidRPr="00E02790">
              <w:rPr>
                <w:sz w:val="16"/>
                <w:lang w:val="en-US"/>
              </w:rPr>
              <w:t>The Board shall regulate the corresponding contractual relations.</w:t>
            </w:r>
            <w:r w:rsidR="00A6453E" w:rsidRPr="002C3320">
              <w:rPr>
                <w:lang w:val="en-US"/>
              </w:rPr>
              <w:t xml:space="preserve"> </w:t>
            </w:r>
            <w:r w:rsidR="007E57F9">
              <w:rPr>
                <w:sz w:val="16"/>
                <w:lang w:val="en-US"/>
              </w:rPr>
              <w:t xml:space="preserve">To the extent that </w:t>
            </w:r>
            <w:r w:rsidR="00A6453E" w:rsidRPr="00A6453E">
              <w:rPr>
                <w:sz w:val="16"/>
                <w:lang w:val="en-US"/>
              </w:rPr>
              <w:t xml:space="preserve">the Board of Directors makes use of its delegation authority pursuant to this </w:t>
            </w:r>
            <w:r w:rsidR="00EE5D65">
              <w:rPr>
                <w:sz w:val="16"/>
                <w:lang w:val="en-US"/>
              </w:rPr>
              <w:t>Art. 19 para. </w:t>
            </w:r>
            <w:r w:rsidR="00B04DA8">
              <w:rPr>
                <w:sz w:val="16"/>
                <w:lang w:val="en-US"/>
              </w:rPr>
              <w:t>3</w:t>
            </w:r>
            <w:r w:rsidR="00A6453E" w:rsidRPr="00A6453E">
              <w:rPr>
                <w:sz w:val="16"/>
                <w:lang w:val="en-US"/>
              </w:rPr>
              <w:t>, Ar</w:t>
            </w:r>
            <w:r w:rsidR="00EE5D65">
              <w:rPr>
                <w:sz w:val="16"/>
                <w:lang w:val="en-US"/>
              </w:rPr>
              <w:t>t. </w:t>
            </w:r>
            <w:r w:rsidR="00A6453E" w:rsidRPr="00A6453E">
              <w:rPr>
                <w:sz w:val="16"/>
                <w:lang w:val="en-US"/>
              </w:rPr>
              <w:t xml:space="preserve">19 </w:t>
            </w:r>
            <w:r w:rsidR="00EE5D65">
              <w:rPr>
                <w:sz w:val="16"/>
                <w:lang w:val="en-US"/>
              </w:rPr>
              <w:t>para. </w:t>
            </w:r>
            <w:r w:rsidR="00A6453E" w:rsidRPr="00A6453E">
              <w:rPr>
                <w:sz w:val="16"/>
                <w:lang w:val="en-US"/>
              </w:rPr>
              <w:t xml:space="preserve">2 shall apply to the </w:t>
            </w:r>
            <w:r w:rsidR="007E57F9">
              <w:rPr>
                <w:sz w:val="16"/>
                <w:lang w:val="en-US"/>
              </w:rPr>
              <w:t xml:space="preserve">Group </w:t>
            </w:r>
            <w:r w:rsidR="00A6453E" w:rsidRPr="00A6453E">
              <w:rPr>
                <w:sz w:val="16"/>
                <w:lang w:val="en-US"/>
              </w:rPr>
              <w:t>Executive Board</w:t>
            </w:r>
            <w:r w:rsidR="007E57F9" w:rsidRPr="00A6453E">
              <w:rPr>
                <w:sz w:val="16"/>
                <w:lang w:val="en-US"/>
              </w:rPr>
              <w:t xml:space="preserve"> accordingly</w:t>
            </w:r>
            <w:r w:rsidR="00A6453E" w:rsidRPr="00A6453E">
              <w:rPr>
                <w:sz w:val="16"/>
                <w:lang w:val="en-US"/>
              </w:rPr>
              <w:t>.</w:t>
            </w:r>
          </w:p>
        </w:tc>
      </w:tr>
      <w:tr w:rsidR="002F537E" w:rsidRPr="00937FAC" w14:paraId="184960F2" w14:textId="77777777" w:rsidTr="00846CDA">
        <w:trPr>
          <w:trHeight w:val="318"/>
        </w:trPr>
        <w:tc>
          <w:tcPr>
            <w:tcW w:w="4962" w:type="dxa"/>
          </w:tcPr>
          <w:p w14:paraId="0F701091" w14:textId="7E455B32" w:rsidR="002F537E" w:rsidRPr="002B77BC" w:rsidRDefault="002F537E" w:rsidP="00C825D6">
            <w:pPr>
              <w:pStyle w:val="BodyText2"/>
              <w:numPr>
                <w:ilvl w:val="0"/>
                <w:numId w:val="30"/>
              </w:numPr>
              <w:spacing w:before="60"/>
              <w:ind w:left="425" w:hanging="425"/>
              <w:rPr>
                <w:sz w:val="16"/>
              </w:rPr>
            </w:pPr>
            <w:r w:rsidRPr="001C67C4">
              <w:rPr>
                <w:sz w:val="16"/>
              </w:rPr>
              <w:t>Der Verwaltungsrat hat folgende unübertrag</w:t>
            </w:r>
            <w:r>
              <w:rPr>
                <w:sz w:val="16"/>
              </w:rPr>
              <w:t>bare und unentziehbare Aufgaben:</w:t>
            </w:r>
          </w:p>
        </w:tc>
        <w:tc>
          <w:tcPr>
            <w:tcW w:w="596" w:type="dxa"/>
            <w:vMerge/>
          </w:tcPr>
          <w:p w14:paraId="59385108" w14:textId="77777777" w:rsidR="002F537E" w:rsidRPr="00937FAC" w:rsidRDefault="002F537E" w:rsidP="002F537E">
            <w:pPr>
              <w:pStyle w:val="BodyText2"/>
              <w:spacing w:before="60"/>
              <w:ind w:left="425" w:hanging="425"/>
              <w:rPr>
                <w:sz w:val="16"/>
              </w:rPr>
            </w:pPr>
          </w:p>
        </w:tc>
        <w:tc>
          <w:tcPr>
            <w:tcW w:w="5074" w:type="dxa"/>
          </w:tcPr>
          <w:p w14:paraId="60898F3F" w14:textId="220581BF" w:rsidR="002F537E" w:rsidRPr="001C7B99" w:rsidRDefault="002F537E" w:rsidP="00C825D6">
            <w:pPr>
              <w:pStyle w:val="BodyText2"/>
              <w:numPr>
                <w:ilvl w:val="0"/>
                <w:numId w:val="45"/>
              </w:numPr>
              <w:spacing w:before="60"/>
              <w:ind w:left="425" w:hanging="425"/>
              <w:rPr>
                <w:sz w:val="16"/>
                <w:lang w:val="en-US"/>
              </w:rPr>
            </w:pPr>
            <w:r w:rsidRPr="00B129A2">
              <w:rPr>
                <w:sz w:val="16"/>
                <w:lang w:val="en-US"/>
              </w:rPr>
              <w:t>The Board of Directors has the following inalienable responsibilities:</w:t>
            </w:r>
          </w:p>
        </w:tc>
      </w:tr>
      <w:tr w:rsidR="002F537E" w:rsidRPr="00937FAC" w14:paraId="1B80F0FB" w14:textId="77777777" w:rsidTr="00846CDA">
        <w:trPr>
          <w:trHeight w:val="318"/>
        </w:trPr>
        <w:tc>
          <w:tcPr>
            <w:tcW w:w="4962" w:type="dxa"/>
          </w:tcPr>
          <w:p w14:paraId="5218DD75" w14:textId="4BBC9D5B"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kern w:val="0"/>
                <w:sz w:val="16"/>
              </w:rPr>
              <w:t xml:space="preserve">Oberleitung der Gesellschaft und Erteilung der nötigen Weisungen; </w:t>
            </w:r>
          </w:p>
        </w:tc>
        <w:tc>
          <w:tcPr>
            <w:tcW w:w="596" w:type="dxa"/>
            <w:vMerge/>
          </w:tcPr>
          <w:p w14:paraId="1EF4BE87" w14:textId="77777777" w:rsidR="002F537E" w:rsidRPr="00937FAC" w:rsidRDefault="002F537E" w:rsidP="002F537E">
            <w:pPr>
              <w:pStyle w:val="BodyText2"/>
              <w:spacing w:before="60"/>
              <w:ind w:left="913" w:hanging="357"/>
              <w:rPr>
                <w:sz w:val="16"/>
              </w:rPr>
            </w:pPr>
          </w:p>
        </w:tc>
        <w:tc>
          <w:tcPr>
            <w:tcW w:w="5074" w:type="dxa"/>
          </w:tcPr>
          <w:p w14:paraId="2E3DFF89" w14:textId="4956CE63" w:rsidR="002F537E" w:rsidRPr="00161511" w:rsidRDefault="002F537E" w:rsidP="00C825D6">
            <w:pPr>
              <w:pStyle w:val="Heading4"/>
              <w:keepNext w:val="0"/>
              <w:keepLines w:val="0"/>
              <w:numPr>
                <w:ilvl w:val="0"/>
                <w:numId w:val="63"/>
              </w:numPr>
              <w:spacing w:before="60" w:after="0" w:line="240" w:lineRule="auto"/>
              <w:ind w:left="913" w:hanging="357"/>
              <w:jc w:val="both"/>
              <w:rPr>
                <w:rFonts w:ascii="Verdana" w:hAnsi="Verdana"/>
                <w:b w:val="0"/>
                <w:kern w:val="0"/>
                <w:sz w:val="16"/>
                <w:lang w:val="en-US"/>
              </w:rPr>
            </w:pPr>
            <w:r w:rsidRPr="00E50CC5">
              <w:rPr>
                <w:rFonts w:ascii="Verdana" w:hAnsi="Verdana"/>
                <w:b w:val="0"/>
                <w:kern w:val="0"/>
                <w:sz w:val="16"/>
                <w:lang w:val="en-US"/>
              </w:rPr>
              <w:t>supreme managerial responsibility for the Company and for issuing the necessary directives;</w:t>
            </w:r>
          </w:p>
        </w:tc>
      </w:tr>
      <w:tr w:rsidR="002F537E" w:rsidRPr="00937FAC" w14:paraId="36676B62" w14:textId="77777777" w:rsidTr="00846CDA">
        <w:trPr>
          <w:trHeight w:val="318"/>
        </w:trPr>
        <w:tc>
          <w:tcPr>
            <w:tcW w:w="4962" w:type="dxa"/>
          </w:tcPr>
          <w:p w14:paraId="3CA9883A" w14:textId="7DEBDFED" w:rsidR="002F537E" w:rsidRPr="00A8776E" w:rsidRDefault="002F537E" w:rsidP="00C825D6">
            <w:pPr>
              <w:pStyle w:val="Heading4"/>
              <w:keepNext w:val="0"/>
              <w:keepLines w:val="0"/>
              <w:numPr>
                <w:ilvl w:val="3"/>
                <w:numId w:val="17"/>
              </w:numPr>
              <w:tabs>
                <w:tab w:val="clear" w:pos="850"/>
                <w:tab w:val="left" w:pos="884"/>
              </w:tabs>
              <w:spacing w:before="60" w:after="0" w:line="240" w:lineRule="auto"/>
              <w:ind w:left="913" w:hanging="357"/>
              <w:jc w:val="both"/>
              <w:rPr>
                <w:rFonts w:ascii="Verdana" w:hAnsi="Verdana"/>
                <w:b w:val="0"/>
                <w:kern w:val="0"/>
                <w:sz w:val="16"/>
                <w:lang w:val="en-US"/>
              </w:rPr>
            </w:pPr>
            <w:proofErr w:type="spellStart"/>
            <w:r w:rsidRPr="00A8776E">
              <w:rPr>
                <w:rFonts w:ascii="Verdana" w:hAnsi="Verdana"/>
                <w:b w:val="0"/>
                <w:kern w:val="0"/>
                <w:sz w:val="16"/>
                <w:lang w:val="en-US"/>
              </w:rPr>
              <w:t>Festlegung</w:t>
            </w:r>
            <w:proofErr w:type="spellEnd"/>
            <w:r w:rsidRPr="00A8776E">
              <w:rPr>
                <w:rFonts w:ascii="Verdana" w:hAnsi="Verdana"/>
                <w:b w:val="0"/>
                <w:kern w:val="0"/>
                <w:sz w:val="16"/>
                <w:lang w:val="en-US"/>
              </w:rPr>
              <w:t xml:space="preserve"> der </w:t>
            </w:r>
            <w:proofErr w:type="spellStart"/>
            <w:r w:rsidRPr="00A8776E">
              <w:rPr>
                <w:rFonts w:ascii="Verdana" w:hAnsi="Verdana"/>
                <w:b w:val="0"/>
                <w:kern w:val="0"/>
                <w:sz w:val="16"/>
                <w:lang w:val="en-US"/>
              </w:rPr>
              <w:t>Organisation</w:t>
            </w:r>
            <w:proofErr w:type="spellEnd"/>
            <w:r w:rsidRPr="00A8776E">
              <w:rPr>
                <w:rFonts w:ascii="Verdana" w:hAnsi="Verdana"/>
                <w:b w:val="0"/>
                <w:kern w:val="0"/>
                <w:sz w:val="16"/>
                <w:lang w:val="en-US"/>
              </w:rPr>
              <w:t>;</w:t>
            </w:r>
          </w:p>
        </w:tc>
        <w:tc>
          <w:tcPr>
            <w:tcW w:w="596" w:type="dxa"/>
            <w:vMerge/>
          </w:tcPr>
          <w:p w14:paraId="4EDBF801" w14:textId="77777777" w:rsidR="002F537E" w:rsidRPr="00937FAC" w:rsidRDefault="002F537E" w:rsidP="002F537E">
            <w:pPr>
              <w:pStyle w:val="BodyText2"/>
              <w:spacing w:before="60"/>
              <w:ind w:left="913" w:hanging="357"/>
              <w:rPr>
                <w:sz w:val="16"/>
              </w:rPr>
            </w:pPr>
          </w:p>
        </w:tc>
        <w:tc>
          <w:tcPr>
            <w:tcW w:w="5074" w:type="dxa"/>
          </w:tcPr>
          <w:p w14:paraId="67C61D85" w14:textId="75E72E63" w:rsidR="002F537E" w:rsidRPr="00161511" w:rsidRDefault="002F537E" w:rsidP="00C825D6">
            <w:pPr>
              <w:pStyle w:val="Heading4"/>
              <w:keepNext w:val="0"/>
              <w:keepLines w:val="0"/>
              <w:numPr>
                <w:ilvl w:val="0"/>
                <w:numId w:val="63"/>
              </w:numPr>
              <w:spacing w:before="60" w:after="0" w:line="240" w:lineRule="auto"/>
              <w:ind w:left="913" w:hanging="357"/>
              <w:jc w:val="both"/>
              <w:rPr>
                <w:rFonts w:ascii="Verdana" w:hAnsi="Verdana"/>
                <w:b w:val="0"/>
                <w:kern w:val="0"/>
                <w:sz w:val="16"/>
              </w:rPr>
            </w:pPr>
            <w:proofErr w:type="spellStart"/>
            <w:r w:rsidRPr="00161511">
              <w:rPr>
                <w:rFonts w:ascii="Verdana" w:hAnsi="Verdana"/>
                <w:b w:val="0"/>
                <w:kern w:val="0"/>
                <w:sz w:val="16"/>
              </w:rPr>
              <w:t>determining</w:t>
            </w:r>
            <w:proofErr w:type="spellEnd"/>
            <w:r w:rsidRPr="00161511">
              <w:rPr>
                <w:rFonts w:ascii="Verdana" w:hAnsi="Verdana"/>
                <w:b w:val="0"/>
                <w:kern w:val="0"/>
                <w:sz w:val="16"/>
              </w:rPr>
              <w:t xml:space="preserve"> </w:t>
            </w:r>
            <w:proofErr w:type="spellStart"/>
            <w:r w:rsidRPr="00161511">
              <w:rPr>
                <w:rFonts w:ascii="Verdana" w:hAnsi="Verdana"/>
                <w:b w:val="0"/>
                <w:kern w:val="0"/>
                <w:sz w:val="16"/>
              </w:rPr>
              <w:t>the</w:t>
            </w:r>
            <w:proofErr w:type="spellEnd"/>
            <w:r w:rsidRPr="00161511">
              <w:rPr>
                <w:rFonts w:ascii="Verdana" w:hAnsi="Verdana"/>
                <w:b w:val="0"/>
                <w:kern w:val="0"/>
                <w:sz w:val="16"/>
              </w:rPr>
              <w:t xml:space="preserve"> Company </w:t>
            </w:r>
            <w:proofErr w:type="spellStart"/>
            <w:r w:rsidRPr="00161511">
              <w:rPr>
                <w:rFonts w:ascii="Verdana" w:hAnsi="Verdana"/>
                <w:b w:val="0"/>
                <w:kern w:val="0"/>
                <w:sz w:val="16"/>
              </w:rPr>
              <w:t>organization</w:t>
            </w:r>
            <w:proofErr w:type="spellEnd"/>
            <w:r w:rsidRPr="00161511">
              <w:rPr>
                <w:rFonts w:ascii="Verdana" w:hAnsi="Verdana"/>
                <w:b w:val="0"/>
                <w:kern w:val="0"/>
                <w:sz w:val="16"/>
              </w:rPr>
              <w:t>;</w:t>
            </w:r>
          </w:p>
        </w:tc>
      </w:tr>
      <w:tr w:rsidR="002F537E" w:rsidRPr="00937FAC" w14:paraId="253B1BA8" w14:textId="77777777" w:rsidTr="00846CDA">
        <w:trPr>
          <w:trHeight w:val="318"/>
        </w:trPr>
        <w:tc>
          <w:tcPr>
            <w:tcW w:w="4962" w:type="dxa"/>
          </w:tcPr>
          <w:p w14:paraId="388F4FF1" w14:textId="57FC71DE"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kern w:val="0"/>
                <w:sz w:val="16"/>
              </w:rPr>
              <w:lastRenderedPageBreak/>
              <w:t xml:space="preserve">Ausgestaltung des Rechnungswesens, der Finanzkontrolle sowie der Finanzplanung; </w:t>
            </w:r>
          </w:p>
        </w:tc>
        <w:tc>
          <w:tcPr>
            <w:tcW w:w="596" w:type="dxa"/>
            <w:vMerge/>
          </w:tcPr>
          <w:p w14:paraId="6CFA9302" w14:textId="77777777" w:rsidR="002F537E" w:rsidRPr="00937FAC" w:rsidRDefault="002F537E" w:rsidP="002F537E">
            <w:pPr>
              <w:pStyle w:val="BodyText2"/>
              <w:spacing w:before="60"/>
              <w:ind w:left="913" w:hanging="357"/>
              <w:rPr>
                <w:sz w:val="16"/>
              </w:rPr>
            </w:pPr>
          </w:p>
        </w:tc>
        <w:tc>
          <w:tcPr>
            <w:tcW w:w="5074" w:type="dxa"/>
          </w:tcPr>
          <w:p w14:paraId="63E6B859" w14:textId="13E5669E" w:rsidR="002F537E" w:rsidRPr="00161511" w:rsidRDefault="002F537E" w:rsidP="00C825D6">
            <w:pPr>
              <w:pStyle w:val="Heading4"/>
              <w:keepNext w:val="0"/>
              <w:keepLines w:val="0"/>
              <w:numPr>
                <w:ilvl w:val="0"/>
                <w:numId w:val="63"/>
              </w:numPr>
              <w:spacing w:before="60" w:after="0" w:line="240" w:lineRule="auto"/>
              <w:ind w:left="913" w:hanging="357"/>
              <w:jc w:val="both"/>
              <w:rPr>
                <w:rFonts w:ascii="Verdana" w:hAnsi="Verdana"/>
                <w:b w:val="0"/>
                <w:kern w:val="0"/>
                <w:sz w:val="16"/>
                <w:lang w:val="en-US"/>
              </w:rPr>
            </w:pPr>
            <w:r w:rsidRPr="00B129A2">
              <w:rPr>
                <w:rFonts w:ascii="Verdana" w:hAnsi="Verdana"/>
                <w:b w:val="0"/>
                <w:kern w:val="0"/>
                <w:sz w:val="16"/>
                <w:lang w:val="en-US"/>
              </w:rPr>
              <w:t>the overall structure of the accounting system, financial control and financial planning;</w:t>
            </w:r>
          </w:p>
        </w:tc>
      </w:tr>
      <w:tr w:rsidR="002F537E" w:rsidRPr="00937FAC" w14:paraId="3CAA6A8F" w14:textId="77777777" w:rsidTr="00846CDA">
        <w:trPr>
          <w:trHeight w:val="318"/>
        </w:trPr>
        <w:tc>
          <w:tcPr>
            <w:tcW w:w="4962" w:type="dxa"/>
          </w:tcPr>
          <w:p w14:paraId="67A0B008" w14:textId="4E02EE88"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kern w:val="0"/>
                <w:sz w:val="16"/>
              </w:rPr>
              <w:t xml:space="preserve">Ernennung und Abberufung der mit der Geschäftsführung und der Vertretung betrauten Personen, Regelung der Zeichnungsberechtigung und Festsetzung ihrer Befugnisse; </w:t>
            </w:r>
          </w:p>
        </w:tc>
        <w:tc>
          <w:tcPr>
            <w:tcW w:w="596" w:type="dxa"/>
            <w:vMerge/>
          </w:tcPr>
          <w:p w14:paraId="1A8DFEFF" w14:textId="77777777" w:rsidR="002F537E" w:rsidRPr="00937FAC" w:rsidRDefault="002F537E" w:rsidP="002F537E">
            <w:pPr>
              <w:pStyle w:val="BodyText2"/>
              <w:spacing w:before="60"/>
              <w:ind w:left="913" w:hanging="357"/>
              <w:rPr>
                <w:sz w:val="16"/>
              </w:rPr>
            </w:pPr>
          </w:p>
        </w:tc>
        <w:tc>
          <w:tcPr>
            <w:tcW w:w="5074" w:type="dxa"/>
          </w:tcPr>
          <w:p w14:paraId="547C392E" w14:textId="270D1D9F" w:rsidR="002F537E" w:rsidRPr="00161511" w:rsidRDefault="002F537E" w:rsidP="00C825D6">
            <w:pPr>
              <w:pStyle w:val="Heading4"/>
              <w:keepNext w:val="0"/>
              <w:keepLines w:val="0"/>
              <w:numPr>
                <w:ilvl w:val="0"/>
                <w:numId w:val="63"/>
              </w:numPr>
              <w:spacing w:before="60" w:after="0" w:line="240" w:lineRule="auto"/>
              <w:ind w:left="913" w:hanging="357"/>
              <w:jc w:val="both"/>
              <w:rPr>
                <w:rFonts w:ascii="Verdana" w:hAnsi="Verdana"/>
                <w:b w:val="0"/>
                <w:kern w:val="0"/>
                <w:sz w:val="16"/>
                <w:lang w:val="en-US"/>
              </w:rPr>
            </w:pPr>
            <w:r w:rsidRPr="00B129A2">
              <w:rPr>
                <w:rFonts w:ascii="Verdana" w:hAnsi="Verdana"/>
                <w:b w:val="0"/>
                <w:kern w:val="0"/>
                <w:sz w:val="16"/>
                <w:lang w:val="en-US"/>
              </w:rPr>
              <w:t xml:space="preserve">the appointment and dismissal of those </w:t>
            </w:r>
            <w:proofErr w:type="gramStart"/>
            <w:r w:rsidRPr="00B129A2">
              <w:rPr>
                <w:rFonts w:ascii="Verdana" w:hAnsi="Verdana"/>
                <w:b w:val="0"/>
                <w:kern w:val="0"/>
                <w:sz w:val="16"/>
                <w:lang w:val="en-US"/>
              </w:rPr>
              <w:t>persons</w:t>
            </w:r>
            <w:proofErr w:type="gramEnd"/>
            <w:r w:rsidRPr="00B129A2">
              <w:rPr>
                <w:rFonts w:ascii="Verdana" w:hAnsi="Verdana"/>
                <w:b w:val="0"/>
                <w:kern w:val="0"/>
                <w:sz w:val="16"/>
                <w:lang w:val="en-US"/>
              </w:rPr>
              <w:t xml:space="preserve"> responsible for the conduct of business and for representing the Company, the regulation of signatory authorities and the determination of their other authorities;</w:t>
            </w:r>
          </w:p>
        </w:tc>
      </w:tr>
      <w:tr w:rsidR="002F537E" w:rsidRPr="00937FAC" w14:paraId="10B84B68" w14:textId="77777777" w:rsidTr="00846CDA">
        <w:trPr>
          <w:trHeight w:val="318"/>
        </w:trPr>
        <w:tc>
          <w:tcPr>
            <w:tcW w:w="4962" w:type="dxa"/>
          </w:tcPr>
          <w:p w14:paraId="70C6C969" w14:textId="1B7D8DCF"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kern w:val="0"/>
                <w:sz w:val="16"/>
              </w:rPr>
              <w:t>Oberaufsicht über die mit der Geschäftsführung betrauten Personen namentlich im Hinblick auf die Befolgung der Gesetze, Statuten, Reglemente und Weisungen;</w:t>
            </w:r>
          </w:p>
        </w:tc>
        <w:tc>
          <w:tcPr>
            <w:tcW w:w="596" w:type="dxa"/>
            <w:vMerge/>
          </w:tcPr>
          <w:p w14:paraId="1529BCB4" w14:textId="77777777" w:rsidR="002F537E" w:rsidRPr="00937FAC" w:rsidRDefault="002F537E" w:rsidP="002F537E">
            <w:pPr>
              <w:pStyle w:val="BodyText2"/>
              <w:spacing w:before="60"/>
              <w:ind w:left="913" w:hanging="357"/>
              <w:rPr>
                <w:sz w:val="16"/>
              </w:rPr>
            </w:pPr>
          </w:p>
        </w:tc>
        <w:tc>
          <w:tcPr>
            <w:tcW w:w="5074" w:type="dxa"/>
          </w:tcPr>
          <w:p w14:paraId="7D390D18" w14:textId="332B285D" w:rsidR="002F537E" w:rsidRPr="00161511" w:rsidRDefault="002F537E" w:rsidP="00C825D6">
            <w:pPr>
              <w:pStyle w:val="Heading4"/>
              <w:keepNext w:val="0"/>
              <w:keepLines w:val="0"/>
              <w:numPr>
                <w:ilvl w:val="0"/>
                <w:numId w:val="63"/>
              </w:numPr>
              <w:spacing w:before="60" w:after="0" w:line="240" w:lineRule="auto"/>
              <w:ind w:left="913" w:hanging="357"/>
              <w:jc w:val="both"/>
              <w:rPr>
                <w:rFonts w:ascii="Verdana" w:hAnsi="Verdana"/>
                <w:b w:val="0"/>
                <w:kern w:val="0"/>
                <w:sz w:val="16"/>
                <w:lang w:val="en-US"/>
              </w:rPr>
            </w:pPr>
            <w:r w:rsidRPr="00B129A2">
              <w:rPr>
                <w:rFonts w:ascii="Verdana" w:hAnsi="Verdana"/>
                <w:b w:val="0"/>
                <w:kern w:val="0"/>
                <w:sz w:val="16"/>
                <w:lang w:val="en-US"/>
              </w:rPr>
              <w:t xml:space="preserve">the supervision of those </w:t>
            </w:r>
            <w:proofErr w:type="gramStart"/>
            <w:r w:rsidRPr="00B129A2">
              <w:rPr>
                <w:rFonts w:ascii="Verdana" w:hAnsi="Verdana"/>
                <w:b w:val="0"/>
                <w:kern w:val="0"/>
                <w:sz w:val="16"/>
                <w:lang w:val="en-US"/>
              </w:rPr>
              <w:t>persons</w:t>
            </w:r>
            <w:proofErr w:type="gramEnd"/>
            <w:r w:rsidRPr="00B129A2">
              <w:rPr>
                <w:rFonts w:ascii="Verdana" w:hAnsi="Verdana"/>
                <w:b w:val="0"/>
                <w:kern w:val="0"/>
                <w:sz w:val="16"/>
                <w:lang w:val="en-US"/>
              </w:rPr>
              <w:t xml:space="preserve"> responsible for the conduct of business, especially in terms of their compliance with the law, with the Articles of Association and with regulations and directives;</w:t>
            </w:r>
          </w:p>
        </w:tc>
      </w:tr>
      <w:tr w:rsidR="002F537E" w:rsidRPr="00937FAC" w14:paraId="029BF345" w14:textId="77777777" w:rsidTr="00846CDA">
        <w:trPr>
          <w:trHeight w:val="318"/>
        </w:trPr>
        <w:tc>
          <w:tcPr>
            <w:tcW w:w="4962" w:type="dxa"/>
          </w:tcPr>
          <w:p w14:paraId="093187A9" w14:textId="03ECBD65"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kern w:val="0"/>
                <w:sz w:val="16"/>
              </w:rPr>
              <w:t xml:space="preserve">Erstellung des Geschäftsberichtes und des Vergütungsberichtes sowie Vorbereitung der Generalversammlung und Ausführung ihrer Beschlüsse; </w:t>
            </w:r>
          </w:p>
        </w:tc>
        <w:tc>
          <w:tcPr>
            <w:tcW w:w="596" w:type="dxa"/>
            <w:vMerge/>
          </w:tcPr>
          <w:p w14:paraId="4C2E1EAF" w14:textId="77777777" w:rsidR="002F537E" w:rsidRPr="00937FAC" w:rsidRDefault="002F537E" w:rsidP="002F537E">
            <w:pPr>
              <w:pStyle w:val="BodyText2"/>
              <w:spacing w:before="60"/>
              <w:ind w:left="913" w:hanging="357"/>
              <w:rPr>
                <w:sz w:val="16"/>
              </w:rPr>
            </w:pPr>
          </w:p>
        </w:tc>
        <w:tc>
          <w:tcPr>
            <w:tcW w:w="5074" w:type="dxa"/>
          </w:tcPr>
          <w:p w14:paraId="205BF392" w14:textId="2E3DA79C" w:rsidR="002F537E" w:rsidRPr="00B129A2" w:rsidRDefault="002F537E" w:rsidP="00C825D6">
            <w:pPr>
              <w:pStyle w:val="BodyText2"/>
              <w:numPr>
                <w:ilvl w:val="0"/>
                <w:numId w:val="63"/>
              </w:numPr>
              <w:spacing w:before="60"/>
              <w:ind w:left="913" w:hanging="357"/>
              <w:rPr>
                <w:sz w:val="16"/>
                <w:lang w:val="en-US"/>
              </w:rPr>
            </w:pPr>
            <w:r w:rsidRPr="00B129A2">
              <w:rPr>
                <w:sz w:val="16"/>
                <w:lang w:val="en-US"/>
              </w:rPr>
              <w:t>the production of the Annual Report and of the Compensation Report, and the preparation of the General Meeting and the implementation of its resolutions;</w:t>
            </w:r>
          </w:p>
        </w:tc>
      </w:tr>
      <w:tr w:rsidR="002F537E" w:rsidRPr="00937FAC" w14:paraId="4201C9BB" w14:textId="77777777" w:rsidTr="00846CDA">
        <w:trPr>
          <w:trHeight w:val="318"/>
        </w:trPr>
        <w:tc>
          <w:tcPr>
            <w:tcW w:w="4962" w:type="dxa"/>
          </w:tcPr>
          <w:p w14:paraId="33D05FA1" w14:textId="1B7DC048"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kern w:val="0"/>
                <w:sz w:val="16"/>
              </w:rPr>
              <w:t xml:space="preserve">Beschlussfassung über die nachträgliche Leistung von Einlagen auf nicht vollständig liberierten Aktien; </w:t>
            </w:r>
          </w:p>
        </w:tc>
        <w:tc>
          <w:tcPr>
            <w:tcW w:w="596" w:type="dxa"/>
            <w:vMerge/>
          </w:tcPr>
          <w:p w14:paraId="5BF17ADB" w14:textId="77777777" w:rsidR="002F537E" w:rsidRPr="00937FAC" w:rsidRDefault="002F537E" w:rsidP="002F537E">
            <w:pPr>
              <w:pStyle w:val="BodyText2"/>
              <w:spacing w:before="60"/>
              <w:ind w:left="913" w:hanging="357"/>
              <w:rPr>
                <w:sz w:val="16"/>
              </w:rPr>
            </w:pPr>
          </w:p>
        </w:tc>
        <w:tc>
          <w:tcPr>
            <w:tcW w:w="5074" w:type="dxa"/>
          </w:tcPr>
          <w:p w14:paraId="5A030C75" w14:textId="437EC34F" w:rsidR="002F537E" w:rsidRPr="00161511" w:rsidRDefault="002F537E" w:rsidP="00C825D6">
            <w:pPr>
              <w:pStyle w:val="Heading4"/>
              <w:keepNext w:val="0"/>
              <w:keepLines w:val="0"/>
              <w:numPr>
                <w:ilvl w:val="0"/>
                <w:numId w:val="63"/>
              </w:numPr>
              <w:spacing w:before="60" w:after="0" w:line="240" w:lineRule="auto"/>
              <w:ind w:left="913" w:hanging="357"/>
              <w:jc w:val="both"/>
              <w:rPr>
                <w:rFonts w:ascii="Verdana" w:hAnsi="Verdana"/>
                <w:b w:val="0"/>
                <w:kern w:val="0"/>
                <w:sz w:val="16"/>
                <w:lang w:val="en-US"/>
              </w:rPr>
            </w:pPr>
            <w:r w:rsidRPr="00B129A2">
              <w:rPr>
                <w:rFonts w:ascii="Verdana" w:hAnsi="Verdana"/>
                <w:b w:val="0"/>
                <w:kern w:val="0"/>
                <w:sz w:val="16"/>
                <w:lang w:val="en-US"/>
              </w:rPr>
              <w:t>all decisions relating to the subsequent paying-in of non-fully-paid-up shares;</w:t>
            </w:r>
          </w:p>
        </w:tc>
      </w:tr>
      <w:tr w:rsidR="002F537E" w:rsidRPr="00937FAC" w14:paraId="5DD5FCA1" w14:textId="77777777" w:rsidTr="00846CDA">
        <w:trPr>
          <w:trHeight w:val="318"/>
        </w:trPr>
        <w:tc>
          <w:tcPr>
            <w:tcW w:w="4962" w:type="dxa"/>
          </w:tcPr>
          <w:p w14:paraId="59A4F3FB" w14:textId="3F199D80"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kern w:val="0"/>
                <w:sz w:val="16"/>
              </w:rPr>
              <w:t xml:space="preserve">Beschlussfassung über die Feststellung von Kapitalerhöhungen und </w:t>
            </w:r>
            <w:proofErr w:type="gramStart"/>
            <w:r w:rsidRPr="003331D5">
              <w:rPr>
                <w:rFonts w:ascii="Verdana" w:hAnsi="Verdana"/>
                <w:b w:val="0"/>
                <w:kern w:val="0"/>
                <w:sz w:val="16"/>
              </w:rPr>
              <w:t>darauf</w:t>
            </w:r>
            <w:r w:rsidR="004F5E4C">
              <w:rPr>
                <w:rFonts w:ascii="Verdana" w:hAnsi="Verdana"/>
                <w:b w:val="0"/>
                <w:kern w:val="0"/>
                <w:sz w:val="16"/>
              </w:rPr>
              <w:t xml:space="preserve"> </w:t>
            </w:r>
            <w:r w:rsidRPr="003331D5">
              <w:rPr>
                <w:rFonts w:ascii="Verdana" w:hAnsi="Verdana"/>
                <w:b w:val="0"/>
                <w:kern w:val="0"/>
                <w:sz w:val="16"/>
              </w:rPr>
              <w:t>folgende</w:t>
            </w:r>
            <w:proofErr w:type="gramEnd"/>
            <w:r w:rsidRPr="003331D5">
              <w:rPr>
                <w:rFonts w:ascii="Verdana" w:hAnsi="Verdana"/>
                <w:b w:val="0"/>
                <w:kern w:val="0"/>
                <w:sz w:val="16"/>
              </w:rPr>
              <w:t xml:space="preserve"> Statutenänderungen; </w:t>
            </w:r>
          </w:p>
        </w:tc>
        <w:tc>
          <w:tcPr>
            <w:tcW w:w="596" w:type="dxa"/>
            <w:vMerge/>
          </w:tcPr>
          <w:p w14:paraId="2830D75A" w14:textId="77777777" w:rsidR="002F537E" w:rsidRPr="00937FAC" w:rsidRDefault="002F537E" w:rsidP="002F537E">
            <w:pPr>
              <w:pStyle w:val="BodyText2"/>
              <w:spacing w:before="60"/>
              <w:ind w:left="913" w:hanging="357"/>
              <w:rPr>
                <w:sz w:val="16"/>
              </w:rPr>
            </w:pPr>
          </w:p>
        </w:tc>
        <w:tc>
          <w:tcPr>
            <w:tcW w:w="5074" w:type="dxa"/>
          </w:tcPr>
          <w:p w14:paraId="74C25223" w14:textId="1BA91F91" w:rsidR="002F537E" w:rsidRPr="00161511" w:rsidRDefault="002F537E" w:rsidP="00C825D6">
            <w:pPr>
              <w:pStyle w:val="Heading4"/>
              <w:keepNext w:val="0"/>
              <w:keepLines w:val="0"/>
              <w:numPr>
                <w:ilvl w:val="0"/>
                <w:numId w:val="63"/>
              </w:numPr>
              <w:spacing w:before="60" w:after="0" w:line="240" w:lineRule="auto"/>
              <w:ind w:left="913" w:hanging="357"/>
              <w:jc w:val="both"/>
              <w:rPr>
                <w:rFonts w:ascii="Verdana" w:hAnsi="Verdana"/>
                <w:b w:val="0"/>
                <w:kern w:val="0"/>
                <w:sz w:val="16"/>
                <w:lang w:val="en-US"/>
              </w:rPr>
            </w:pPr>
            <w:r w:rsidRPr="00B129A2">
              <w:rPr>
                <w:rFonts w:ascii="Verdana" w:hAnsi="Verdana"/>
                <w:b w:val="0"/>
                <w:kern w:val="0"/>
                <w:sz w:val="16"/>
                <w:lang w:val="en-US"/>
              </w:rPr>
              <w:t>all decisions relating to capital increases and the consequent amendments to the Articles of Association;</w:t>
            </w:r>
          </w:p>
        </w:tc>
      </w:tr>
      <w:tr w:rsidR="002F537E" w:rsidRPr="00937FAC" w14:paraId="38D03AFC" w14:textId="77777777" w:rsidTr="00846CDA">
        <w:trPr>
          <w:trHeight w:val="318"/>
        </w:trPr>
        <w:tc>
          <w:tcPr>
            <w:tcW w:w="4962" w:type="dxa"/>
          </w:tcPr>
          <w:p w14:paraId="75498653" w14:textId="0C1D38B9" w:rsidR="002F537E" w:rsidRPr="003331D5" w:rsidRDefault="007E35B9"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7E35B9">
              <w:rPr>
                <w:rFonts w:ascii="Verdana" w:hAnsi="Verdana"/>
                <w:b w:val="0"/>
                <w:kern w:val="0"/>
                <w:sz w:val="16"/>
              </w:rPr>
              <w:t>die Einreichung eines Gesuchs um Nachlassstundung und die Benachrichtigung des Gerichts im Falle der Überschuldung</w:t>
            </w:r>
            <w:r w:rsidR="002F537E" w:rsidRPr="003331D5">
              <w:rPr>
                <w:rFonts w:ascii="Verdana" w:hAnsi="Verdana"/>
                <w:b w:val="0"/>
                <w:kern w:val="0"/>
                <w:sz w:val="16"/>
              </w:rPr>
              <w:t>;</w:t>
            </w:r>
          </w:p>
        </w:tc>
        <w:tc>
          <w:tcPr>
            <w:tcW w:w="596" w:type="dxa"/>
            <w:vMerge/>
          </w:tcPr>
          <w:p w14:paraId="20B31631" w14:textId="77777777" w:rsidR="002F537E" w:rsidRPr="00937FAC" w:rsidRDefault="002F537E" w:rsidP="002F537E">
            <w:pPr>
              <w:pStyle w:val="BodyText2"/>
              <w:spacing w:before="60"/>
              <w:ind w:left="913" w:hanging="357"/>
              <w:rPr>
                <w:sz w:val="16"/>
              </w:rPr>
            </w:pPr>
          </w:p>
        </w:tc>
        <w:tc>
          <w:tcPr>
            <w:tcW w:w="5074" w:type="dxa"/>
          </w:tcPr>
          <w:p w14:paraId="116708FB" w14:textId="59F231E6" w:rsidR="002F537E" w:rsidRPr="00161511" w:rsidRDefault="007E35B9" w:rsidP="00C825D6">
            <w:pPr>
              <w:pStyle w:val="Heading4"/>
              <w:keepNext w:val="0"/>
              <w:keepLines w:val="0"/>
              <w:numPr>
                <w:ilvl w:val="0"/>
                <w:numId w:val="63"/>
              </w:numPr>
              <w:spacing w:before="60" w:after="0" w:line="240" w:lineRule="auto"/>
              <w:ind w:left="913" w:hanging="357"/>
              <w:jc w:val="both"/>
              <w:rPr>
                <w:rFonts w:ascii="Verdana" w:hAnsi="Verdana"/>
                <w:b w:val="0"/>
                <w:kern w:val="0"/>
                <w:sz w:val="16"/>
                <w:lang w:val="en-US"/>
              </w:rPr>
            </w:pPr>
            <w:r w:rsidRPr="007E35B9">
              <w:rPr>
                <w:rFonts w:ascii="Verdana" w:hAnsi="Verdana"/>
                <w:b w:val="0"/>
                <w:kern w:val="0"/>
                <w:sz w:val="16"/>
                <w:lang w:val="en-US"/>
              </w:rPr>
              <w:t xml:space="preserve">filing an application for a debt restructuring moratorium and notifying the court </w:t>
            </w:r>
            <w:proofErr w:type="gramStart"/>
            <w:r w:rsidRPr="007E35B9">
              <w:rPr>
                <w:rFonts w:ascii="Verdana" w:hAnsi="Verdana"/>
                <w:b w:val="0"/>
                <w:kern w:val="0"/>
                <w:sz w:val="16"/>
                <w:lang w:val="en-US"/>
              </w:rPr>
              <w:t>in the event that</w:t>
            </w:r>
            <w:proofErr w:type="gramEnd"/>
            <w:r w:rsidRPr="007E35B9">
              <w:rPr>
                <w:rFonts w:ascii="Verdana" w:hAnsi="Verdana"/>
                <w:b w:val="0"/>
                <w:kern w:val="0"/>
                <w:sz w:val="16"/>
                <w:lang w:val="en-US"/>
              </w:rPr>
              <w:t xml:space="preserve"> the </w:t>
            </w:r>
            <w:r>
              <w:rPr>
                <w:rFonts w:ascii="Verdana" w:hAnsi="Verdana"/>
                <w:b w:val="0"/>
                <w:kern w:val="0"/>
                <w:sz w:val="16"/>
                <w:lang w:val="en-US"/>
              </w:rPr>
              <w:t>C</w:t>
            </w:r>
            <w:r w:rsidRPr="007E35B9">
              <w:rPr>
                <w:rFonts w:ascii="Verdana" w:hAnsi="Verdana"/>
                <w:b w:val="0"/>
                <w:kern w:val="0"/>
                <w:sz w:val="16"/>
                <w:lang w:val="en-US"/>
              </w:rPr>
              <w:t>ompany is overindebted</w:t>
            </w:r>
            <w:r w:rsidR="002F537E" w:rsidRPr="00B129A2">
              <w:rPr>
                <w:rFonts w:ascii="Verdana" w:hAnsi="Verdana"/>
                <w:b w:val="0"/>
                <w:kern w:val="0"/>
                <w:sz w:val="16"/>
                <w:lang w:val="en-US"/>
              </w:rPr>
              <w:t>;</w:t>
            </w:r>
          </w:p>
        </w:tc>
      </w:tr>
      <w:tr w:rsidR="002F537E" w:rsidRPr="00937FAC" w14:paraId="5838A41C" w14:textId="77777777" w:rsidTr="00846CDA">
        <w:trPr>
          <w:trHeight w:val="318"/>
        </w:trPr>
        <w:tc>
          <w:tcPr>
            <w:tcW w:w="4962" w:type="dxa"/>
          </w:tcPr>
          <w:p w14:paraId="2773990F" w14:textId="0A827581" w:rsidR="002F537E" w:rsidRPr="003331D5" w:rsidRDefault="002F537E" w:rsidP="00C825D6">
            <w:pPr>
              <w:pStyle w:val="Heading4"/>
              <w:keepNext w:val="0"/>
              <w:keepLines w:val="0"/>
              <w:numPr>
                <w:ilvl w:val="3"/>
                <w:numId w:val="17"/>
              </w:numPr>
              <w:tabs>
                <w:tab w:val="clear" w:pos="850"/>
              </w:tabs>
              <w:spacing w:before="60" w:after="0" w:line="240" w:lineRule="auto"/>
              <w:ind w:left="913" w:hanging="357"/>
              <w:jc w:val="both"/>
              <w:rPr>
                <w:rFonts w:ascii="Verdana" w:hAnsi="Verdana"/>
                <w:b w:val="0"/>
                <w:kern w:val="0"/>
                <w:sz w:val="16"/>
              </w:rPr>
            </w:pPr>
            <w:r w:rsidRPr="003331D5">
              <w:rPr>
                <w:rFonts w:ascii="Verdana" w:hAnsi="Verdana"/>
                <w:b w:val="0"/>
                <w:sz w:val="16"/>
              </w:rPr>
              <w:t>alle weiteren durch Gesetz oder Statuten vorgesehenen unübertragbaren und unentziehbaren Aufgaben des Verwaltungsrates.</w:t>
            </w:r>
          </w:p>
        </w:tc>
        <w:tc>
          <w:tcPr>
            <w:tcW w:w="596" w:type="dxa"/>
            <w:vMerge/>
          </w:tcPr>
          <w:p w14:paraId="18C3A12E" w14:textId="77777777" w:rsidR="002F537E" w:rsidRPr="00937FAC" w:rsidRDefault="002F537E" w:rsidP="002F537E">
            <w:pPr>
              <w:pStyle w:val="BodyText2"/>
              <w:spacing w:before="60"/>
              <w:ind w:left="913" w:hanging="357"/>
              <w:rPr>
                <w:sz w:val="16"/>
              </w:rPr>
            </w:pPr>
          </w:p>
        </w:tc>
        <w:tc>
          <w:tcPr>
            <w:tcW w:w="5074" w:type="dxa"/>
          </w:tcPr>
          <w:p w14:paraId="240B1530" w14:textId="61E8865E" w:rsidR="002F537E" w:rsidRPr="00B129A2" w:rsidRDefault="002F537E" w:rsidP="00C825D6">
            <w:pPr>
              <w:pStyle w:val="BodyText2"/>
              <w:numPr>
                <w:ilvl w:val="0"/>
                <w:numId w:val="63"/>
              </w:numPr>
              <w:spacing w:before="60"/>
              <w:ind w:left="913" w:hanging="357"/>
              <w:rPr>
                <w:sz w:val="16"/>
                <w:lang w:val="en-US"/>
              </w:rPr>
            </w:pPr>
            <w:r w:rsidRPr="00896636">
              <w:rPr>
                <w:sz w:val="16"/>
                <w:lang w:val="en-US"/>
              </w:rPr>
              <w:t>all other non-transferable and inalienable responsibilities attributed to the Board of Directors by law or these Articles of Association.</w:t>
            </w:r>
          </w:p>
        </w:tc>
      </w:tr>
      <w:tr w:rsidR="002F537E" w:rsidRPr="00937FAC" w14:paraId="39FDAE77" w14:textId="77777777" w:rsidTr="00846CDA">
        <w:tc>
          <w:tcPr>
            <w:tcW w:w="4962" w:type="dxa"/>
          </w:tcPr>
          <w:p w14:paraId="37D62B66" w14:textId="77777777" w:rsidR="002F537E" w:rsidRPr="00557FFE" w:rsidRDefault="002F537E" w:rsidP="002F537E">
            <w:pPr>
              <w:jc w:val="center"/>
              <w:rPr>
                <w:rFonts w:ascii="Verdana" w:hAnsi="Verdana"/>
                <w:b/>
                <w:sz w:val="16"/>
                <w:lang w:val="en-US"/>
              </w:rPr>
            </w:pPr>
          </w:p>
          <w:p w14:paraId="2E4BCA5D" w14:textId="76B8083F" w:rsidR="002F537E" w:rsidRDefault="002F537E" w:rsidP="002F537E">
            <w:pPr>
              <w:jc w:val="center"/>
              <w:rPr>
                <w:rFonts w:ascii="Verdana" w:hAnsi="Verdana"/>
                <w:b/>
                <w:sz w:val="16"/>
                <w:lang w:val="de-CH"/>
              </w:rPr>
            </w:pPr>
            <w:r>
              <w:rPr>
                <w:rFonts w:ascii="Verdana" w:hAnsi="Verdana"/>
                <w:b/>
                <w:sz w:val="16"/>
                <w:lang w:val="de-CH"/>
              </w:rPr>
              <w:t>Art. 20</w:t>
            </w:r>
          </w:p>
          <w:p w14:paraId="2C9F1140" w14:textId="77777777" w:rsidR="002F537E" w:rsidRPr="000907A8" w:rsidRDefault="002F537E" w:rsidP="002F537E">
            <w:pPr>
              <w:jc w:val="center"/>
              <w:rPr>
                <w:rFonts w:ascii="Verdana" w:hAnsi="Verdana"/>
                <w:b/>
                <w:sz w:val="16"/>
                <w:lang w:val="de-CH"/>
              </w:rPr>
            </w:pPr>
            <w:r>
              <w:rPr>
                <w:rFonts w:ascii="Verdana" w:hAnsi="Verdana"/>
                <w:b/>
                <w:sz w:val="16"/>
                <w:lang w:val="de-CH"/>
              </w:rPr>
              <w:t>Sitzungen</w:t>
            </w:r>
          </w:p>
        </w:tc>
        <w:tc>
          <w:tcPr>
            <w:tcW w:w="596" w:type="dxa"/>
          </w:tcPr>
          <w:p w14:paraId="6D659851" w14:textId="77777777" w:rsidR="002F537E" w:rsidRPr="000907A8" w:rsidRDefault="002F537E" w:rsidP="002F537E">
            <w:pPr>
              <w:jc w:val="center"/>
              <w:rPr>
                <w:rFonts w:ascii="Verdana" w:hAnsi="Verdana"/>
                <w:b/>
                <w:sz w:val="16"/>
                <w:lang w:val="de-CH"/>
              </w:rPr>
            </w:pPr>
          </w:p>
        </w:tc>
        <w:tc>
          <w:tcPr>
            <w:tcW w:w="5074" w:type="dxa"/>
          </w:tcPr>
          <w:p w14:paraId="6D9153FC" w14:textId="77777777" w:rsidR="002F537E" w:rsidRPr="00A1421C" w:rsidRDefault="002F537E" w:rsidP="002F537E">
            <w:pPr>
              <w:jc w:val="center"/>
              <w:rPr>
                <w:rFonts w:ascii="Verdana" w:hAnsi="Verdana"/>
                <w:b/>
                <w:sz w:val="16"/>
                <w:lang w:val="en-US"/>
              </w:rPr>
            </w:pPr>
          </w:p>
          <w:p w14:paraId="7B4FCE6C" w14:textId="0D215E90" w:rsidR="002F537E" w:rsidRPr="000907A8" w:rsidRDefault="002F537E" w:rsidP="002F537E">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20</w:t>
            </w:r>
          </w:p>
          <w:p w14:paraId="3FAF0A62" w14:textId="77777777" w:rsidR="002F537E" w:rsidRPr="000907A8" w:rsidRDefault="002F537E" w:rsidP="002F537E">
            <w:pPr>
              <w:jc w:val="center"/>
              <w:rPr>
                <w:rFonts w:ascii="Verdana" w:hAnsi="Verdana"/>
                <w:b/>
                <w:sz w:val="16"/>
                <w:lang w:val="en-US"/>
              </w:rPr>
            </w:pPr>
            <w:r>
              <w:rPr>
                <w:rFonts w:ascii="Verdana" w:hAnsi="Verdana"/>
                <w:b/>
                <w:sz w:val="16"/>
                <w:lang w:val="en-US"/>
              </w:rPr>
              <w:t>Meetings</w:t>
            </w:r>
          </w:p>
          <w:p w14:paraId="392E22E6" w14:textId="77777777" w:rsidR="002F537E" w:rsidRPr="000907A8" w:rsidRDefault="002F537E" w:rsidP="002F537E">
            <w:pPr>
              <w:jc w:val="center"/>
              <w:rPr>
                <w:rFonts w:ascii="Verdana" w:hAnsi="Verdana"/>
                <w:b/>
                <w:sz w:val="16"/>
                <w:lang w:val="en-US"/>
              </w:rPr>
            </w:pPr>
          </w:p>
        </w:tc>
      </w:tr>
      <w:tr w:rsidR="002F537E" w:rsidRPr="009A1592" w14:paraId="272E94A8" w14:textId="77777777" w:rsidTr="00846CDA">
        <w:trPr>
          <w:trHeight w:val="430"/>
        </w:trPr>
        <w:tc>
          <w:tcPr>
            <w:tcW w:w="4962" w:type="dxa"/>
          </w:tcPr>
          <w:p w14:paraId="2D8054E3" w14:textId="121FA00C" w:rsidR="002F537E" w:rsidRPr="000F3D13" w:rsidRDefault="002F537E" w:rsidP="002F537E">
            <w:pPr>
              <w:pStyle w:val="BodyText2"/>
              <w:numPr>
                <w:ilvl w:val="0"/>
                <w:numId w:val="16"/>
              </w:numPr>
              <w:spacing w:before="60"/>
              <w:ind w:left="425" w:hanging="425"/>
              <w:rPr>
                <w:sz w:val="16"/>
              </w:rPr>
            </w:pPr>
            <w:r w:rsidRPr="00680488">
              <w:rPr>
                <w:sz w:val="16"/>
              </w:rPr>
              <w:t>Der Verwaltungsrat tritt so oft zusammen, wie es die Geschäfte erfordern. Er wird durch seinen Präsidenten</w:t>
            </w:r>
            <w:r>
              <w:rPr>
                <w:sz w:val="16"/>
              </w:rPr>
              <w:t>/seine Präsidentin</w:t>
            </w:r>
            <w:r w:rsidRPr="00680488">
              <w:rPr>
                <w:sz w:val="16"/>
              </w:rPr>
              <w:t xml:space="preserve"> oder bei dessen Verhinderung durch ein anderes Verwaltungsratsmitglied einberufen.</w:t>
            </w:r>
          </w:p>
        </w:tc>
        <w:tc>
          <w:tcPr>
            <w:tcW w:w="596" w:type="dxa"/>
            <w:vMerge w:val="restart"/>
          </w:tcPr>
          <w:p w14:paraId="2F455D49" w14:textId="77777777" w:rsidR="002F537E" w:rsidRPr="001C67C4" w:rsidRDefault="002F537E" w:rsidP="002F537E">
            <w:pPr>
              <w:pStyle w:val="BodyText2"/>
              <w:ind w:left="425" w:hanging="425"/>
              <w:rPr>
                <w:sz w:val="16"/>
              </w:rPr>
            </w:pPr>
          </w:p>
        </w:tc>
        <w:tc>
          <w:tcPr>
            <w:tcW w:w="5074" w:type="dxa"/>
          </w:tcPr>
          <w:p w14:paraId="48A6198A" w14:textId="3A5A6DEC" w:rsidR="002F537E" w:rsidRPr="000F3D13" w:rsidRDefault="002F537E" w:rsidP="00C825D6">
            <w:pPr>
              <w:pStyle w:val="BodyText2"/>
              <w:numPr>
                <w:ilvl w:val="0"/>
                <w:numId w:val="46"/>
              </w:numPr>
              <w:spacing w:before="60"/>
              <w:ind w:left="425" w:hanging="425"/>
              <w:rPr>
                <w:sz w:val="16"/>
                <w:lang w:val="en-US"/>
              </w:rPr>
            </w:pPr>
            <w:r w:rsidRPr="00B129A2">
              <w:rPr>
                <w:sz w:val="16"/>
                <w:lang w:val="en-US"/>
              </w:rPr>
              <w:t>The Board of Directors shall meet as frequently as business demands. It shall be convened by the Chairman or, in his or her absence, by another Board member.</w:t>
            </w:r>
            <w:r w:rsidRPr="000F3D13">
              <w:rPr>
                <w:sz w:val="16"/>
                <w:lang w:val="en-US"/>
              </w:rPr>
              <w:t xml:space="preserve"> </w:t>
            </w:r>
          </w:p>
        </w:tc>
      </w:tr>
      <w:tr w:rsidR="002F537E" w:rsidRPr="009A1592" w14:paraId="00C1B84A" w14:textId="77777777" w:rsidTr="00846CDA">
        <w:trPr>
          <w:trHeight w:val="430"/>
        </w:trPr>
        <w:tc>
          <w:tcPr>
            <w:tcW w:w="4962" w:type="dxa"/>
          </w:tcPr>
          <w:p w14:paraId="12FEA1B6" w14:textId="4A075BC4" w:rsidR="002F537E" w:rsidRPr="000F3D13" w:rsidRDefault="002F537E" w:rsidP="002F537E">
            <w:pPr>
              <w:pStyle w:val="BodyText2"/>
              <w:numPr>
                <w:ilvl w:val="0"/>
                <w:numId w:val="16"/>
              </w:numPr>
              <w:spacing w:before="60"/>
              <w:ind w:left="425" w:hanging="425"/>
              <w:rPr>
                <w:sz w:val="16"/>
              </w:rPr>
            </w:pPr>
            <w:r w:rsidRPr="00BB0EFB">
              <w:rPr>
                <w:sz w:val="16"/>
              </w:rPr>
              <w:t>Die Organisation der Sitzungen wie auch die Beschlussfähigkeit des Verwaltungsrates und die Beschlussfassung werden im Organisationsreglement festgelegt.</w:t>
            </w:r>
          </w:p>
        </w:tc>
        <w:tc>
          <w:tcPr>
            <w:tcW w:w="596" w:type="dxa"/>
            <w:vMerge/>
          </w:tcPr>
          <w:p w14:paraId="4D8E82E1" w14:textId="77777777" w:rsidR="002F537E" w:rsidRPr="001C67C4" w:rsidRDefault="002F537E" w:rsidP="002F537E">
            <w:pPr>
              <w:pStyle w:val="BodyText2"/>
              <w:ind w:left="425" w:hanging="425"/>
              <w:rPr>
                <w:sz w:val="16"/>
              </w:rPr>
            </w:pPr>
          </w:p>
        </w:tc>
        <w:tc>
          <w:tcPr>
            <w:tcW w:w="5074" w:type="dxa"/>
          </w:tcPr>
          <w:p w14:paraId="6F3FE1AE" w14:textId="4179DB5C" w:rsidR="002F537E" w:rsidRPr="000F3D13" w:rsidRDefault="002F537E" w:rsidP="00C825D6">
            <w:pPr>
              <w:pStyle w:val="BodyText2"/>
              <w:numPr>
                <w:ilvl w:val="0"/>
                <w:numId w:val="46"/>
              </w:numPr>
              <w:spacing w:before="60"/>
              <w:ind w:left="425" w:hanging="425"/>
              <w:rPr>
                <w:sz w:val="16"/>
                <w:lang w:val="en-US"/>
              </w:rPr>
            </w:pPr>
            <w:r w:rsidRPr="00B129A2">
              <w:rPr>
                <w:sz w:val="16"/>
                <w:lang w:val="en-US"/>
              </w:rPr>
              <w:t>The organization of the meetings, including the presence quorum and the passing of resolutions, shall be set out in the Organizational Regulations.</w:t>
            </w:r>
          </w:p>
        </w:tc>
      </w:tr>
      <w:tr w:rsidR="002F537E" w:rsidRPr="009A1592" w14:paraId="1A60C2D0" w14:textId="77777777" w:rsidTr="00846CDA">
        <w:trPr>
          <w:trHeight w:val="430"/>
        </w:trPr>
        <w:tc>
          <w:tcPr>
            <w:tcW w:w="4962" w:type="dxa"/>
          </w:tcPr>
          <w:p w14:paraId="22C7ADE6" w14:textId="082B034B" w:rsidR="002F537E" w:rsidRPr="000F3D13" w:rsidRDefault="002F537E" w:rsidP="002F537E">
            <w:pPr>
              <w:pStyle w:val="BodyText2"/>
              <w:numPr>
                <w:ilvl w:val="0"/>
                <w:numId w:val="16"/>
              </w:numPr>
              <w:spacing w:before="60"/>
              <w:ind w:left="425" w:hanging="425"/>
              <w:rPr>
                <w:sz w:val="16"/>
              </w:rPr>
            </w:pPr>
            <w:r>
              <w:rPr>
                <w:sz w:val="16"/>
              </w:rPr>
              <w:t xml:space="preserve">Der Präsident hat bei Stimmengleichheit </w:t>
            </w:r>
            <w:r w:rsidRPr="007977CB">
              <w:rPr>
                <w:sz w:val="16"/>
              </w:rPr>
              <w:t>keinen</w:t>
            </w:r>
            <w:r>
              <w:rPr>
                <w:sz w:val="16"/>
              </w:rPr>
              <w:t xml:space="preserve"> Stichentscheid. </w:t>
            </w:r>
          </w:p>
        </w:tc>
        <w:tc>
          <w:tcPr>
            <w:tcW w:w="596" w:type="dxa"/>
            <w:vMerge/>
          </w:tcPr>
          <w:p w14:paraId="6167212D" w14:textId="77777777" w:rsidR="002F537E" w:rsidRPr="001C67C4" w:rsidRDefault="002F537E" w:rsidP="002F537E">
            <w:pPr>
              <w:pStyle w:val="BodyText2"/>
              <w:ind w:left="425" w:hanging="425"/>
              <w:rPr>
                <w:sz w:val="16"/>
              </w:rPr>
            </w:pPr>
          </w:p>
        </w:tc>
        <w:tc>
          <w:tcPr>
            <w:tcW w:w="5074" w:type="dxa"/>
          </w:tcPr>
          <w:p w14:paraId="4C70B1C5" w14:textId="0B8757AD" w:rsidR="002F537E" w:rsidRPr="00B129A2" w:rsidRDefault="002F537E" w:rsidP="00C825D6">
            <w:pPr>
              <w:pStyle w:val="BodyText2"/>
              <w:numPr>
                <w:ilvl w:val="0"/>
                <w:numId w:val="46"/>
              </w:numPr>
              <w:spacing w:before="60"/>
              <w:ind w:left="425" w:hanging="425"/>
              <w:rPr>
                <w:sz w:val="16"/>
                <w:lang w:val="en-US"/>
              </w:rPr>
            </w:pPr>
            <w:r w:rsidRPr="00B129A2">
              <w:rPr>
                <w:sz w:val="16"/>
                <w:lang w:val="en-US"/>
              </w:rPr>
              <w:t xml:space="preserve">The </w:t>
            </w:r>
            <w:r>
              <w:rPr>
                <w:sz w:val="16"/>
                <w:lang w:val="en-US"/>
              </w:rPr>
              <w:t>C</w:t>
            </w:r>
            <w:r w:rsidRPr="00B129A2">
              <w:rPr>
                <w:sz w:val="16"/>
                <w:lang w:val="en-US"/>
              </w:rPr>
              <w:t>hairman shall have no casting vote.</w:t>
            </w:r>
          </w:p>
        </w:tc>
      </w:tr>
      <w:tr w:rsidR="002F537E" w:rsidRPr="00937FAC" w14:paraId="5E8C396E" w14:textId="77777777" w:rsidTr="00846CDA">
        <w:tc>
          <w:tcPr>
            <w:tcW w:w="4962" w:type="dxa"/>
          </w:tcPr>
          <w:p w14:paraId="4109BC7C" w14:textId="77777777" w:rsidR="002F537E" w:rsidRPr="009A1592" w:rsidRDefault="002F537E" w:rsidP="002F537E">
            <w:pPr>
              <w:pStyle w:val="BodyText2"/>
              <w:ind w:left="340"/>
              <w:jc w:val="center"/>
              <w:rPr>
                <w:sz w:val="16"/>
                <w:lang w:val="en-US"/>
              </w:rPr>
            </w:pPr>
          </w:p>
          <w:p w14:paraId="2D90B784" w14:textId="54356F96" w:rsidR="002F537E" w:rsidRPr="004E3B2A" w:rsidRDefault="002F537E" w:rsidP="002F537E">
            <w:pPr>
              <w:pStyle w:val="BodyText2"/>
              <w:jc w:val="center"/>
              <w:rPr>
                <w:b/>
                <w:sz w:val="16"/>
                <w:lang w:val="en-US"/>
              </w:rPr>
            </w:pPr>
            <w:r w:rsidRPr="004E3B2A">
              <w:rPr>
                <w:b/>
                <w:sz w:val="16"/>
                <w:lang w:val="en-US"/>
              </w:rPr>
              <w:t>Art. 2</w:t>
            </w:r>
            <w:r>
              <w:rPr>
                <w:b/>
                <w:sz w:val="16"/>
                <w:lang w:val="en-US"/>
              </w:rPr>
              <w:t>1</w:t>
            </w:r>
          </w:p>
          <w:p w14:paraId="23DD0DF5" w14:textId="77777777" w:rsidR="002F537E" w:rsidRPr="000907A8" w:rsidRDefault="002F537E" w:rsidP="002F537E">
            <w:pPr>
              <w:pStyle w:val="BodyText2"/>
              <w:jc w:val="center"/>
              <w:rPr>
                <w:sz w:val="16"/>
                <w:lang w:val="en-US"/>
              </w:rPr>
            </w:pPr>
            <w:proofErr w:type="spellStart"/>
            <w:r w:rsidRPr="004E3B2A">
              <w:rPr>
                <w:b/>
                <w:sz w:val="16"/>
                <w:lang w:val="en-US"/>
              </w:rPr>
              <w:t>Vergütungsausschuss</w:t>
            </w:r>
            <w:proofErr w:type="spellEnd"/>
          </w:p>
        </w:tc>
        <w:tc>
          <w:tcPr>
            <w:tcW w:w="596" w:type="dxa"/>
          </w:tcPr>
          <w:p w14:paraId="726D4306" w14:textId="77777777" w:rsidR="002F537E" w:rsidRPr="000907A8" w:rsidRDefault="002F537E" w:rsidP="002F537E">
            <w:pPr>
              <w:pStyle w:val="BodyText2"/>
              <w:jc w:val="center"/>
              <w:rPr>
                <w:sz w:val="16"/>
                <w:lang w:val="en-US"/>
              </w:rPr>
            </w:pPr>
          </w:p>
        </w:tc>
        <w:tc>
          <w:tcPr>
            <w:tcW w:w="5074" w:type="dxa"/>
          </w:tcPr>
          <w:p w14:paraId="64B120E8" w14:textId="77777777" w:rsidR="002F537E" w:rsidRDefault="002F537E" w:rsidP="002F537E">
            <w:pPr>
              <w:jc w:val="center"/>
              <w:rPr>
                <w:rFonts w:ascii="Verdana" w:hAnsi="Verdana"/>
                <w:b/>
                <w:sz w:val="16"/>
                <w:lang w:val="en-US"/>
              </w:rPr>
            </w:pPr>
          </w:p>
          <w:p w14:paraId="7A485B7D" w14:textId="2106ACF4" w:rsidR="002F537E" w:rsidRPr="000907A8" w:rsidRDefault="002F537E" w:rsidP="002F537E">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21</w:t>
            </w:r>
          </w:p>
          <w:p w14:paraId="44EACA3D" w14:textId="77777777" w:rsidR="002F537E" w:rsidRPr="000907A8" w:rsidRDefault="002F537E" w:rsidP="002F537E">
            <w:pPr>
              <w:jc w:val="center"/>
              <w:rPr>
                <w:rFonts w:ascii="Verdana" w:hAnsi="Verdana"/>
                <w:b/>
                <w:sz w:val="16"/>
                <w:lang w:val="en-US"/>
              </w:rPr>
            </w:pPr>
            <w:r>
              <w:rPr>
                <w:rFonts w:ascii="Verdana" w:hAnsi="Verdana"/>
                <w:b/>
                <w:sz w:val="16"/>
                <w:lang w:val="en-US"/>
              </w:rPr>
              <w:t>Compensation Committee</w:t>
            </w:r>
          </w:p>
          <w:p w14:paraId="7E5D5B80" w14:textId="77777777" w:rsidR="002F537E" w:rsidRPr="000907A8" w:rsidRDefault="002F537E" w:rsidP="002F537E">
            <w:pPr>
              <w:pStyle w:val="BodyText2"/>
              <w:ind w:left="317"/>
              <w:jc w:val="center"/>
              <w:rPr>
                <w:sz w:val="16"/>
                <w:lang w:val="en-US"/>
              </w:rPr>
            </w:pPr>
          </w:p>
        </w:tc>
      </w:tr>
      <w:tr w:rsidR="002F537E" w:rsidRPr="00937FAC" w14:paraId="3EAFD941" w14:textId="77777777" w:rsidTr="00846CDA">
        <w:trPr>
          <w:trHeight w:val="576"/>
        </w:trPr>
        <w:tc>
          <w:tcPr>
            <w:tcW w:w="4962" w:type="dxa"/>
          </w:tcPr>
          <w:p w14:paraId="304D794F" w14:textId="47EAAEC4" w:rsidR="002F537E" w:rsidRPr="00E65800" w:rsidRDefault="002F537E" w:rsidP="002F537E">
            <w:pPr>
              <w:pStyle w:val="BodyText2"/>
              <w:numPr>
                <w:ilvl w:val="0"/>
                <w:numId w:val="11"/>
              </w:numPr>
              <w:spacing w:before="60"/>
              <w:ind w:left="425" w:hanging="425"/>
              <w:rPr>
                <w:sz w:val="16"/>
                <w:lang w:val="en-GB"/>
              </w:rPr>
            </w:pPr>
            <w:r w:rsidRPr="00A1421C">
              <w:rPr>
                <w:sz w:val="16"/>
              </w:rPr>
              <w:t xml:space="preserve">Der Vergütungsausschuss besteht aus mindestens </w:t>
            </w:r>
            <w:r>
              <w:rPr>
                <w:sz w:val="16"/>
              </w:rPr>
              <w:t xml:space="preserve">drei </w:t>
            </w:r>
            <w:r w:rsidRPr="00A1421C">
              <w:rPr>
                <w:sz w:val="16"/>
              </w:rPr>
              <w:t xml:space="preserve">Mitgliedern des Verwaltungsrates. Die Mitglieder des Vergütungsausschusses werden von der Generalversammlung einzeln für eine Dauer von einem Jahr bis zum Abschluss der nächsten ordentlichen Generalversammlung gewählt. </w:t>
            </w:r>
            <w:proofErr w:type="spellStart"/>
            <w:r w:rsidRPr="004E3B2A">
              <w:rPr>
                <w:sz w:val="16"/>
                <w:lang w:val="en-GB"/>
              </w:rPr>
              <w:t>Wiederwahl</w:t>
            </w:r>
            <w:proofErr w:type="spellEnd"/>
            <w:r w:rsidRPr="004E3B2A">
              <w:rPr>
                <w:sz w:val="16"/>
                <w:lang w:val="en-GB"/>
              </w:rPr>
              <w:t xml:space="preserve"> </w:t>
            </w:r>
            <w:proofErr w:type="spellStart"/>
            <w:r w:rsidRPr="004E3B2A">
              <w:rPr>
                <w:sz w:val="16"/>
                <w:lang w:val="en-GB"/>
              </w:rPr>
              <w:t>ist</w:t>
            </w:r>
            <w:proofErr w:type="spellEnd"/>
            <w:r w:rsidRPr="004E3B2A">
              <w:rPr>
                <w:sz w:val="16"/>
                <w:lang w:val="en-GB"/>
              </w:rPr>
              <w:t xml:space="preserve"> </w:t>
            </w:r>
            <w:proofErr w:type="spellStart"/>
            <w:r w:rsidRPr="004E3B2A">
              <w:rPr>
                <w:sz w:val="16"/>
                <w:lang w:val="en-GB"/>
              </w:rPr>
              <w:t>zulässig</w:t>
            </w:r>
            <w:proofErr w:type="spellEnd"/>
            <w:r w:rsidRPr="004E3B2A">
              <w:rPr>
                <w:sz w:val="16"/>
                <w:lang w:val="en-GB"/>
              </w:rPr>
              <w:t xml:space="preserve">. </w:t>
            </w:r>
          </w:p>
        </w:tc>
        <w:tc>
          <w:tcPr>
            <w:tcW w:w="596" w:type="dxa"/>
            <w:vMerge w:val="restart"/>
          </w:tcPr>
          <w:p w14:paraId="2733A9E3" w14:textId="77777777" w:rsidR="002F537E" w:rsidRPr="004E3B2A" w:rsidRDefault="002F537E" w:rsidP="002F537E">
            <w:pPr>
              <w:pStyle w:val="BodyText2"/>
              <w:ind w:left="425" w:hanging="425"/>
              <w:rPr>
                <w:sz w:val="16"/>
              </w:rPr>
            </w:pPr>
          </w:p>
        </w:tc>
        <w:tc>
          <w:tcPr>
            <w:tcW w:w="5074" w:type="dxa"/>
          </w:tcPr>
          <w:p w14:paraId="2BA6F272" w14:textId="7512CECB" w:rsidR="002F537E" w:rsidRPr="001510CA" w:rsidRDefault="002F537E" w:rsidP="00C825D6">
            <w:pPr>
              <w:pStyle w:val="BodyText2"/>
              <w:numPr>
                <w:ilvl w:val="0"/>
                <w:numId w:val="47"/>
              </w:numPr>
              <w:spacing w:before="60"/>
              <w:ind w:left="425" w:hanging="425"/>
              <w:rPr>
                <w:sz w:val="16"/>
              </w:rPr>
            </w:pPr>
            <w:r w:rsidRPr="00B129A2">
              <w:rPr>
                <w:sz w:val="16"/>
                <w:lang w:val="en-US"/>
              </w:rPr>
              <w:t xml:space="preserve">The compensation committee ("Compensation Committee") shall be composed of no less than three members of the Board of Directors. The members of the Compensation Committee shall be elected by the General Meeting, on an individual basis, for a term of one year ending with the end of the next Ordinary General Meeting. </w:t>
            </w:r>
            <w:r w:rsidRPr="00B129A2">
              <w:rPr>
                <w:sz w:val="16"/>
              </w:rPr>
              <w:t>Re-</w:t>
            </w:r>
            <w:proofErr w:type="spellStart"/>
            <w:r w:rsidRPr="00B129A2">
              <w:rPr>
                <w:sz w:val="16"/>
              </w:rPr>
              <w:t>election</w:t>
            </w:r>
            <w:proofErr w:type="spellEnd"/>
            <w:r w:rsidRPr="00B129A2">
              <w:rPr>
                <w:sz w:val="16"/>
              </w:rPr>
              <w:t xml:space="preserve"> </w:t>
            </w:r>
            <w:proofErr w:type="spellStart"/>
            <w:r w:rsidRPr="00B129A2">
              <w:rPr>
                <w:sz w:val="16"/>
              </w:rPr>
              <w:t>is</w:t>
            </w:r>
            <w:proofErr w:type="spellEnd"/>
            <w:r w:rsidRPr="00B129A2">
              <w:rPr>
                <w:sz w:val="16"/>
              </w:rPr>
              <w:t xml:space="preserve"> </w:t>
            </w:r>
            <w:proofErr w:type="spellStart"/>
            <w:r w:rsidRPr="00B129A2">
              <w:rPr>
                <w:sz w:val="16"/>
              </w:rPr>
              <w:t>permitted</w:t>
            </w:r>
            <w:proofErr w:type="spellEnd"/>
            <w:r w:rsidRPr="00B129A2">
              <w:rPr>
                <w:sz w:val="16"/>
              </w:rPr>
              <w:t>.</w:t>
            </w:r>
          </w:p>
        </w:tc>
      </w:tr>
      <w:tr w:rsidR="002F537E" w:rsidRPr="00937FAC" w14:paraId="7F1E52F4" w14:textId="77777777" w:rsidTr="00846CDA">
        <w:trPr>
          <w:trHeight w:val="576"/>
        </w:trPr>
        <w:tc>
          <w:tcPr>
            <w:tcW w:w="4962" w:type="dxa"/>
          </w:tcPr>
          <w:p w14:paraId="1B4CA20A" w14:textId="5575C16A" w:rsidR="002F537E" w:rsidRPr="00E65800" w:rsidRDefault="002F537E" w:rsidP="002F537E">
            <w:pPr>
              <w:pStyle w:val="BodyText2"/>
              <w:numPr>
                <w:ilvl w:val="0"/>
                <w:numId w:val="11"/>
              </w:numPr>
              <w:spacing w:before="60"/>
              <w:ind w:left="425" w:hanging="425"/>
              <w:rPr>
                <w:sz w:val="16"/>
              </w:rPr>
            </w:pPr>
            <w:r w:rsidRPr="004E3B2A">
              <w:rPr>
                <w:sz w:val="16"/>
              </w:rPr>
              <w:t>Der Verwaltungsrat bestimmt unter den Mitgliedern des Vergütungsaus</w:t>
            </w:r>
            <w:r>
              <w:rPr>
                <w:sz w:val="16"/>
              </w:rPr>
              <w:t>schusses dessen Vor</w:t>
            </w:r>
            <w:r w:rsidRPr="004E3B2A">
              <w:rPr>
                <w:sz w:val="16"/>
              </w:rPr>
              <w:t xml:space="preserve">sitzenden und erlässt ein Reglement, welches insbesondere die Aufgaben und Befugnisse des Vergütungsausschusses unter Berücksichtigung von Gesetz und Statuten definiert. </w:t>
            </w:r>
          </w:p>
        </w:tc>
        <w:tc>
          <w:tcPr>
            <w:tcW w:w="596" w:type="dxa"/>
            <w:vMerge/>
          </w:tcPr>
          <w:p w14:paraId="65F115F3" w14:textId="77777777" w:rsidR="002F537E" w:rsidRPr="004E3B2A" w:rsidRDefault="002F537E" w:rsidP="002F537E">
            <w:pPr>
              <w:pStyle w:val="BodyText2"/>
              <w:ind w:left="425" w:hanging="425"/>
              <w:rPr>
                <w:sz w:val="16"/>
              </w:rPr>
            </w:pPr>
          </w:p>
        </w:tc>
        <w:tc>
          <w:tcPr>
            <w:tcW w:w="5074" w:type="dxa"/>
          </w:tcPr>
          <w:p w14:paraId="6CE3ED95" w14:textId="5141F7D4" w:rsidR="002F537E" w:rsidRPr="0081620C" w:rsidRDefault="002F537E" w:rsidP="00C825D6">
            <w:pPr>
              <w:pStyle w:val="BodyText2"/>
              <w:numPr>
                <w:ilvl w:val="0"/>
                <w:numId w:val="47"/>
              </w:numPr>
              <w:spacing w:before="60"/>
              <w:ind w:left="425" w:hanging="425"/>
              <w:rPr>
                <w:sz w:val="16"/>
                <w:lang w:val="en-US"/>
              </w:rPr>
            </w:pPr>
            <w:r w:rsidRPr="00B129A2">
              <w:rPr>
                <w:sz w:val="16"/>
                <w:lang w:val="en-US"/>
              </w:rPr>
              <w:t>The Board of Directors shall designate from amongst the members of the Compensation Committee a Committee chairman, and shall issue regulations defining</w:t>
            </w:r>
            <w:proofErr w:type="gramStart"/>
            <w:r w:rsidRPr="00B129A2">
              <w:rPr>
                <w:sz w:val="16"/>
                <w:lang w:val="en-US"/>
              </w:rPr>
              <w:t>, in particular, the</w:t>
            </w:r>
            <w:proofErr w:type="gramEnd"/>
            <w:r w:rsidRPr="00B129A2">
              <w:rPr>
                <w:sz w:val="16"/>
                <w:lang w:val="en-US"/>
              </w:rPr>
              <w:t xml:space="preserve"> tasks und powers of the Compensation Committee in accordance with the law and these Articles of Association.</w:t>
            </w:r>
          </w:p>
        </w:tc>
      </w:tr>
      <w:tr w:rsidR="002F537E" w:rsidRPr="00937FAC" w14:paraId="47B35C4D" w14:textId="77777777" w:rsidTr="00846CDA">
        <w:trPr>
          <w:trHeight w:val="576"/>
        </w:trPr>
        <w:tc>
          <w:tcPr>
            <w:tcW w:w="4962" w:type="dxa"/>
          </w:tcPr>
          <w:p w14:paraId="49615526" w14:textId="3D6C9DD0" w:rsidR="002F537E" w:rsidRPr="00E65800" w:rsidRDefault="002F537E" w:rsidP="002F537E">
            <w:pPr>
              <w:pStyle w:val="BodyText2"/>
              <w:numPr>
                <w:ilvl w:val="0"/>
                <w:numId w:val="11"/>
              </w:numPr>
              <w:spacing w:before="60"/>
              <w:ind w:left="425" w:hanging="425"/>
              <w:rPr>
                <w:sz w:val="16"/>
              </w:rPr>
            </w:pPr>
            <w:r w:rsidRPr="004E3B2A">
              <w:rPr>
                <w:sz w:val="16"/>
              </w:rPr>
              <w:t xml:space="preserve">Ist der Vergütungsausschuss nicht vollständig besetzt, so ernennt der Verwaltungsrat unter seinen Mitgliedern im entsprechenden Umfang Mitglieder des Vergütungsausschusses </w:t>
            </w:r>
            <w:r>
              <w:rPr>
                <w:sz w:val="16"/>
              </w:rPr>
              <w:t xml:space="preserve">ad </w:t>
            </w:r>
            <w:proofErr w:type="spellStart"/>
            <w:r>
              <w:rPr>
                <w:sz w:val="16"/>
              </w:rPr>
              <w:t>interim</w:t>
            </w:r>
            <w:proofErr w:type="spellEnd"/>
            <w:r>
              <w:rPr>
                <w:sz w:val="16"/>
              </w:rPr>
              <w:t xml:space="preserve"> </w:t>
            </w:r>
            <w:r w:rsidRPr="005B5D41">
              <w:rPr>
                <w:sz w:val="16"/>
              </w:rPr>
              <w:t>bis zur nächsten ordentlichen Generalversammlung; die Einberufung einer Generalversammlung nach Art. 726 Abs. 2 OR bleibt vorbehalten.</w:t>
            </w:r>
            <w:r w:rsidRPr="004E3B2A">
              <w:rPr>
                <w:sz w:val="16"/>
              </w:rPr>
              <w:t xml:space="preserve"> </w:t>
            </w:r>
          </w:p>
        </w:tc>
        <w:tc>
          <w:tcPr>
            <w:tcW w:w="596" w:type="dxa"/>
            <w:vMerge/>
          </w:tcPr>
          <w:p w14:paraId="360C6C0C" w14:textId="77777777" w:rsidR="002F537E" w:rsidRPr="004E3B2A" w:rsidRDefault="002F537E" w:rsidP="002F537E">
            <w:pPr>
              <w:pStyle w:val="BodyText2"/>
              <w:ind w:left="425" w:hanging="425"/>
              <w:rPr>
                <w:sz w:val="16"/>
              </w:rPr>
            </w:pPr>
          </w:p>
        </w:tc>
        <w:tc>
          <w:tcPr>
            <w:tcW w:w="5074" w:type="dxa"/>
          </w:tcPr>
          <w:p w14:paraId="1599C8A7" w14:textId="408470EC" w:rsidR="002F537E" w:rsidRPr="0081620C" w:rsidRDefault="002F537E" w:rsidP="00C825D6">
            <w:pPr>
              <w:pStyle w:val="BodyText2"/>
              <w:numPr>
                <w:ilvl w:val="0"/>
                <w:numId w:val="47"/>
              </w:numPr>
              <w:spacing w:before="60"/>
              <w:ind w:left="425" w:hanging="425"/>
              <w:rPr>
                <w:sz w:val="16"/>
                <w:lang w:val="en-US"/>
              </w:rPr>
            </w:pPr>
            <w:proofErr w:type="gramStart"/>
            <w:r w:rsidRPr="00B129A2">
              <w:rPr>
                <w:sz w:val="16"/>
                <w:lang w:val="en-US"/>
              </w:rPr>
              <w:t>In the event that</w:t>
            </w:r>
            <w:proofErr w:type="gramEnd"/>
            <w:r w:rsidRPr="00B129A2">
              <w:rPr>
                <w:sz w:val="16"/>
                <w:lang w:val="en-US"/>
              </w:rPr>
              <w:t xml:space="preserve"> the Compensation Committee is not fully constituted, the Board of Directors shall appoint from amongst its members an appropriate number of Compensation Committee members ad interim until the next ordinary General Meeting; the calling of a General Meeting in accordance with Art. 726 paragraph 2 of the Swiss Code of Obligations is reserved.</w:t>
            </w:r>
          </w:p>
        </w:tc>
      </w:tr>
      <w:tr w:rsidR="002F537E" w:rsidRPr="00937FAC" w14:paraId="2062B320" w14:textId="77777777" w:rsidTr="00846CDA">
        <w:trPr>
          <w:trHeight w:val="576"/>
        </w:trPr>
        <w:tc>
          <w:tcPr>
            <w:tcW w:w="4962" w:type="dxa"/>
          </w:tcPr>
          <w:p w14:paraId="46E8C133" w14:textId="631F8BE7" w:rsidR="002F537E" w:rsidRPr="00E65800" w:rsidRDefault="002F537E" w:rsidP="002F537E">
            <w:pPr>
              <w:pStyle w:val="BodyText2"/>
              <w:numPr>
                <w:ilvl w:val="0"/>
                <w:numId w:val="11"/>
              </w:numPr>
              <w:spacing w:before="60"/>
              <w:ind w:left="425" w:hanging="425"/>
              <w:rPr>
                <w:sz w:val="16"/>
              </w:rPr>
            </w:pPr>
            <w:r w:rsidRPr="002B57A5">
              <w:rPr>
                <w:sz w:val="16"/>
              </w:rPr>
              <w:t xml:space="preserve">Der Vergütungsausschuss unterstützt den Verwaltungsrat bei der Festsetzung und Überprüfung der Vergütungsstrategie und -richtlinien der Gesellschaft und der qualitativen und quantitativen Kriterien für die Vergütung sowie bei der Vorbereitung der Anträge </w:t>
            </w:r>
            <w:r w:rsidRPr="002B57A5">
              <w:rPr>
                <w:sz w:val="16"/>
              </w:rPr>
              <w:lastRenderedPageBreak/>
              <w:t>zuhanden der Generalversammlung betreffend die Vergütung des Verwaltungsrates und der Geschäftsleitung. Er kann dem Verwaltungsrat Vorschläge und Empfehlungen zu weiteren Vergütungsfragen unterbreiten.</w:t>
            </w:r>
          </w:p>
        </w:tc>
        <w:tc>
          <w:tcPr>
            <w:tcW w:w="596" w:type="dxa"/>
            <w:vMerge/>
          </w:tcPr>
          <w:p w14:paraId="6A48A973" w14:textId="77777777" w:rsidR="002F537E" w:rsidRPr="004E3B2A" w:rsidRDefault="002F537E" w:rsidP="002F537E">
            <w:pPr>
              <w:pStyle w:val="BodyText2"/>
              <w:ind w:left="425" w:hanging="425"/>
              <w:rPr>
                <w:sz w:val="16"/>
              </w:rPr>
            </w:pPr>
          </w:p>
        </w:tc>
        <w:tc>
          <w:tcPr>
            <w:tcW w:w="5074" w:type="dxa"/>
          </w:tcPr>
          <w:p w14:paraId="00999E83" w14:textId="6271C699" w:rsidR="002F537E" w:rsidRPr="00B129A2" w:rsidRDefault="002F537E" w:rsidP="00C825D6">
            <w:pPr>
              <w:pStyle w:val="BodyText2"/>
              <w:numPr>
                <w:ilvl w:val="0"/>
                <w:numId w:val="47"/>
              </w:numPr>
              <w:spacing w:before="60"/>
              <w:ind w:left="425" w:hanging="425"/>
              <w:rPr>
                <w:sz w:val="16"/>
                <w:lang w:val="en-US"/>
              </w:rPr>
            </w:pPr>
            <w:r w:rsidRPr="00B129A2">
              <w:rPr>
                <w:sz w:val="16"/>
                <w:lang w:val="en-US"/>
              </w:rPr>
              <w:t xml:space="preserve">The Compensation Committee assists the Board of Directors in determining and reviewing the </w:t>
            </w:r>
            <w:r>
              <w:rPr>
                <w:sz w:val="16"/>
                <w:lang w:val="en-US"/>
              </w:rPr>
              <w:t>C</w:t>
            </w:r>
            <w:r w:rsidRPr="00B129A2">
              <w:rPr>
                <w:sz w:val="16"/>
                <w:lang w:val="en-US"/>
              </w:rPr>
              <w:t xml:space="preserve">ompany's compensation strategy and guidelines and the qualitative and quantitative criteria for compensation, and with the preparation of the proposals </w:t>
            </w:r>
            <w:proofErr w:type="gramStart"/>
            <w:r w:rsidRPr="00B129A2">
              <w:rPr>
                <w:sz w:val="16"/>
                <w:lang w:val="en-US"/>
              </w:rPr>
              <w:t>to</w:t>
            </w:r>
            <w:proofErr w:type="gramEnd"/>
            <w:r w:rsidRPr="00B129A2">
              <w:rPr>
                <w:sz w:val="16"/>
                <w:lang w:val="en-US"/>
              </w:rPr>
              <w:t xml:space="preserve"> the General </w:t>
            </w:r>
            <w:r w:rsidRPr="00B129A2">
              <w:rPr>
                <w:sz w:val="16"/>
                <w:lang w:val="en-US"/>
              </w:rPr>
              <w:lastRenderedPageBreak/>
              <w:t>Meeting concerning compensation of the Board of Directors and the Group Executive Board. It may submit to the Board of Directors suggestions and recommendations on further compensation matters</w:t>
            </w:r>
            <w:r>
              <w:rPr>
                <w:sz w:val="16"/>
                <w:lang w:val="en-US"/>
              </w:rPr>
              <w:t>.</w:t>
            </w:r>
          </w:p>
        </w:tc>
      </w:tr>
      <w:tr w:rsidR="002F537E" w:rsidRPr="00937FAC" w14:paraId="2D722FA5" w14:textId="77777777" w:rsidTr="00846CDA">
        <w:trPr>
          <w:trHeight w:val="289"/>
        </w:trPr>
        <w:tc>
          <w:tcPr>
            <w:tcW w:w="4962" w:type="dxa"/>
          </w:tcPr>
          <w:p w14:paraId="057E9A90" w14:textId="50B635EF" w:rsidR="002F537E" w:rsidRPr="00A1421C" w:rsidRDefault="002F537E" w:rsidP="002F537E">
            <w:pPr>
              <w:pStyle w:val="BodyText2"/>
              <w:numPr>
                <w:ilvl w:val="0"/>
                <w:numId w:val="11"/>
              </w:numPr>
              <w:spacing w:before="60"/>
              <w:ind w:left="425" w:hanging="425"/>
              <w:rPr>
                <w:sz w:val="16"/>
              </w:rPr>
            </w:pPr>
            <w:r w:rsidRPr="004E3B2A">
              <w:rPr>
                <w:sz w:val="16"/>
              </w:rPr>
              <w:lastRenderedPageBreak/>
              <w:t xml:space="preserve">Der </w:t>
            </w:r>
            <w:r>
              <w:rPr>
                <w:sz w:val="16"/>
              </w:rPr>
              <w:t xml:space="preserve">Verwaltungsrat kann dem </w:t>
            </w:r>
            <w:r w:rsidRPr="004E3B2A">
              <w:rPr>
                <w:sz w:val="16"/>
              </w:rPr>
              <w:t xml:space="preserve">Vergütungsausschuss </w:t>
            </w:r>
            <w:r>
              <w:rPr>
                <w:sz w:val="16"/>
              </w:rPr>
              <w:t>weitere Aufgaben und Befugnisse zuweisen</w:t>
            </w:r>
            <w:r w:rsidRPr="004E3B2A">
              <w:rPr>
                <w:sz w:val="16"/>
              </w:rPr>
              <w:t>.</w:t>
            </w:r>
          </w:p>
        </w:tc>
        <w:tc>
          <w:tcPr>
            <w:tcW w:w="596" w:type="dxa"/>
            <w:vMerge/>
          </w:tcPr>
          <w:p w14:paraId="64FC2D50" w14:textId="77777777" w:rsidR="002F537E" w:rsidRPr="004E3B2A" w:rsidRDefault="002F537E" w:rsidP="002F537E">
            <w:pPr>
              <w:pStyle w:val="BodyText2"/>
              <w:ind w:left="425" w:hanging="425"/>
              <w:rPr>
                <w:sz w:val="16"/>
              </w:rPr>
            </w:pPr>
          </w:p>
        </w:tc>
        <w:tc>
          <w:tcPr>
            <w:tcW w:w="5074" w:type="dxa"/>
          </w:tcPr>
          <w:p w14:paraId="39633197" w14:textId="2BFB9BCE" w:rsidR="002F537E" w:rsidRPr="00B129A2" w:rsidRDefault="002F537E" w:rsidP="00C825D6">
            <w:pPr>
              <w:pStyle w:val="BodyText2"/>
              <w:numPr>
                <w:ilvl w:val="0"/>
                <w:numId w:val="47"/>
              </w:numPr>
              <w:spacing w:before="60"/>
              <w:ind w:left="425" w:hanging="425"/>
              <w:rPr>
                <w:sz w:val="16"/>
                <w:lang w:val="en-US"/>
              </w:rPr>
            </w:pPr>
            <w:r w:rsidRPr="00B129A2">
              <w:rPr>
                <w:sz w:val="16"/>
                <w:lang w:val="en-US"/>
              </w:rPr>
              <w:t>The Board of Directors may delegate further tasks and powers to the Compensation Committee.</w:t>
            </w:r>
          </w:p>
        </w:tc>
      </w:tr>
      <w:tr w:rsidR="002F537E" w:rsidRPr="00937FAC" w14:paraId="45449DCA" w14:textId="77777777" w:rsidTr="00846CDA">
        <w:tc>
          <w:tcPr>
            <w:tcW w:w="4962" w:type="dxa"/>
          </w:tcPr>
          <w:p w14:paraId="7B2E6448" w14:textId="77777777" w:rsidR="002F537E" w:rsidRDefault="002F537E" w:rsidP="002F537E">
            <w:pPr>
              <w:pStyle w:val="BodyText2"/>
              <w:ind w:left="340"/>
              <w:jc w:val="center"/>
              <w:rPr>
                <w:sz w:val="16"/>
                <w:lang w:val="en-US"/>
              </w:rPr>
            </w:pPr>
          </w:p>
          <w:p w14:paraId="3DCA1DE9" w14:textId="1825CFDB" w:rsidR="002F537E" w:rsidRPr="004E3B2A" w:rsidRDefault="002F537E" w:rsidP="002F537E">
            <w:pPr>
              <w:pStyle w:val="BodyText2"/>
              <w:jc w:val="center"/>
              <w:rPr>
                <w:b/>
                <w:sz w:val="16"/>
                <w:lang w:val="en-US"/>
              </w:rPr>
            </w:pPr>
            <w:r w:rsidRPr="004E3B2A">
              <w:rPr>
                <w:b/>
                <w:sz w:val="16"/>
                <w:lang w:val="en-US"/>
              </w:rPr>
              <w:t>Art. 2</w:t>
            </w:r>
            <w:r>
              <w:rPr>
                <w:b/>
                <w:sz w:val="16"/>
                <w:lang w:val="en-US"/>
              </w:rPr>
              <w:t>2</w:t>
            </w:r>
          </w:p>
          <w:p w14:paraId="0DEA41F3" w14:textId="77777777" w:rsidR="002F537E" w:rsidRDefault="002F537E" w:rsidP="002F537E">
            <w:pPr>
              <w:pStyle w:val="BodyText2"/>
              <w:jc w:val="center"/>
              <w:rPr>
                <w:b/>
                <w:sz w:val="16"/>
                <w:vertAlign w:val="superscript"/>
                <w:lang w:val="en-US"/>
              </w:rPr>
            </w:pPr>
            <w:proofErr w:type="spellStart"/>
            <w:r w:rsidRPr="004E3B2A">
              <w:rPr>
                <w:b/>
                <w:sz w:val="16"/>
                <w:lang w:val="en-US"/>
              </w:rPr>
              <w:t>Zeichnungsberechtigung</w:t>
            </w:r>
            <w:proofErr w:type="spellEnd"/>
          </w:p>
          <w:p w14:paraId="6EF0B3A2" w14:textId="77777777" w:rsidR="002F537E" w:rsidRPr="002B57A5" w:rsidRDefault="002F537E" w:rsidP="002F537E">
            <w:pPr>
              <w:pStyle w:val="BodyText2"/>
              <w:jc w:val="center"/>
              <w:rPr>
                <w:sz w:val="16"/>
                <w:vertAlign w:val="superscript"/>
                <w:lang w:val="en-US"/>
              </w:rPr>
            </w:pPr>
          </w:p>
        </w:tc>
        <w:tc>
          <w:tcPr>
            <w:tcW w:w="596" w:type="dxa"/>
          </w:tcPr>
          <w:p w14:paraId="23283C13" w14:textId="77777777" w:rsidR="002F537E" w:rsidRPr="000907A8" w:rsidRDefault="002F537E" w:rsidP="002F537E">
            <w:pPr>
              <w:pStyle w:val="BodyText2"/>
              <w:jc w:val="center"/>
              <w:rPr>
                <w:sz w:val="16"/>
                <w:lang w:val="en-US"/>
              </w:rPr>
            </w:pPr>
          </w:p>
        </w:tc>
        <w:tc>
          <w:tcPr>
            <w:tcW w:w="5074" w:type="dxa"/>
          </w:tcPr>
          <w:p w14:paraId="59955FDF" w14:textId="77777777" w:rsidR="002F537E" w:rsidRDefault="002F537E" w:rsidP="002F537E">
            <w:pPr>
              <w:jc w:val="center"/>
              <w:rPr>
                <w:rFonts w:ascii="Verdana" w:hAnsi="Verdana"/>
                <w:b/>
                <w:sz w:val="16"/>
                <w:lang w:val="en-US"/>
              </w:rPr>
            </w:pPr>
          </w:p>
          <w:p w14:paraId="528BC5FA" w14:textId="7DA3B569" w:rsidR="002F537E" w:rsidRPr="000907A8" w:rsidRDefault="002F537E" w:rsidP="002F537E">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22</w:t>
            </w:r>
          </w:p>
          <w:p w14:paraId="5736EB19" w14:textId="77777777" w:rsidR="002F537E" w:rsidRPr="000907A8" w:rsidRDefault="002F537E" w:rsidP="002F537E">
            <w:pPr>
              <w:jc w:val="center"/>
              <w:rPr>
                <w:rFonts w:ascii="Verdana" w:hAnsi="Verdana"/>
                <w:b/>
                <w:sz w:val="16"/>
                <w:lang w:val="en-US"/>
              </w:rPr>
            </w:pPr>
            <w:r>
              <w:rPr>
                <w:rFonts w:ascii="Verdana" w:hAnsi="Verdana"/>
                <w:b/>
                <w:sz w:val="16"/>
                <w:lang w:val="en-US"/>
              </w:rPr>
              <w:t>Signatory authority</w:t>
            </w:r>
          </w:p>
          <w:p w14:paraId="70E611C5" w14:textId="77777777" w:rsidR="002F537E" w:rsidRPr="000907A8" w:rsidRDefault="002F537E" w:rsidP="002F537E">
            <w:pPr>
              <w:pStyle w:val="BodyText2"/>
              <w:ind w:left="317"/>
              <w:jc w:val="center"/>
              <w:rPr>
                <w:sz w:val="16"/>
                <w:lang w:val="en-US"/>
              </w:rPr>
            </w:pPr>
          </w:p>
        </w:tc>
      </w:tr>
      <w:tr w:rsidR="002F537E" w:rsidRPr="00937FAC" w14:paraId="47DE0528" w14:textId="77777777" w:rsidTr="00846CDA">
        <w:tc>
          <w:tcPr>
            <w:tcW w:w="4962" w:type="dxa"/>
          </w:tcPr>
          <w:p w14:paraId="74662586" w14:textId="77777777" w:rsidR="002F537E" w:rsidRPr="00341920" w:rsidRDefault="002F537E" w:rsidP="002F537E">
            <w:pPr>
              <w:pStyle w:val="BodyText2"/>
              <w:spacing w:before="60"/>
              <w:rPr>
                <w:sz w:val="16"/>
              </w:rPr>
            </w:pPr>
            <w:r w:rsidRPr="00303C02">
              <w:rPr>
                <w:sz w:val="16"/>
              </w:rPr>
              <w:t>Der Verwaltungsrat bezeichnet die Personen aus seiner Mitte und ausserhalb derselben, welchen die rechtsverbindliche Unterschrift für die Gesellschaft zukommt, und bestimmt die Art und Weise der Zeichnung.</w:t>
            </w:r>
          </w:p>
        </w:tc>
        <w:tc>
          <w:tcPr>
            <w:tcW w:w="596" w:type="dxa"/>
          </w:tcPr>
          <w:p w14:paraId="0DBA690A" w14:textId="77777777" w:rsidR="002F537E" w:rsidRPr="00341920" w:rsidRDefault="002F537E" w:rsidP="002F537E">
            <w:pPr>
              <w:pStyle w:val="BodyText2"/>
              <w:rPr>
                <w:sz w:val="16"/>
              </w:rPr>
            </w:pPr>
          </w:p>
        </w:tc>
        <w:tc>
          <w:tcPr>
            <w:tcW w:w="5074" w:type="dxa"/>
          </w:tcPr>
          <w:p w14:paraId="435C52B7" w14:textId="77777777" w:rsidR="002F537E" w:rsidRPr="000907A8" w:rsidRDefault="002F537E" w:rsidP="002F537E">
            <w:pPr>
              <w:pStyle w:val="BodyText2"/>
              <w:spacing w:before="60"/>
              <w:rPr>
                <w:sz w:val="16"/>
                <w:lang w:val="en-US"/>
              </w:rPr>
            </w:pPr>
            <w:r w:rsidRPr="00B129A2">
              <w:rPr>
                <w:sz w:val="16"/>
                <w:lang w:val="en-US"/>
              </w:rPr>
              <w:t xml:space="preserve">The Board of Directors shall designate those Board members and other persons who are </w:t>
            </w:r>
            <w:proofErr w:type="spellStart"/>
            <w:r w:rsidRPr="00B129A2">
              <w:rPr>
                <w:sz w:val="16"/>
                <w:lang w:val="en-US"/>
              </w:rPr>
              <w:t>authorised</w:t>
            </w:r>
            <w:proofErr w:type="spellEnd"/>
            <w:r w:rsidRPr="00B129A2">
              <w:rPr>
                <w:sz w:val="16"/>
                <w:lang w:val="en-US"/>
              </w:rPr>
              <w:t xml:space="preserve"> to sign on behalf of the </w:t>
            </w:r>
            <w:proofErr w:type="gramStart"/>
            <w:r w:rsidRPr="00B129A2">
              <w:rPr>
                <w:sz w:val="16"/>
                <w:lang w:val="en-US"/>
              </w:rPr>
              <w:t>Company, and</w:t>
            </w:r>
            <w:proofErr w:type="gramEnd"/>
            <w:r w:rsidRPr="00B129A2">
              <w:rPr>
                <w:sz w:val="16"/>
                <w:lang w:val="en-US"/>
              </w:rPr>
              <w:t xml:space="preserve"> shall determine the nature of such signatory authority.</w:t>
            </w:r>
          </w:p>
        </w:tc>
      </w:tr>
      <w:tr w:rsidR="002F537E" w:rsidRPr="00937FAC" w14:paraId="1E0304A2" w14:textId="77777777" w:rsidTr="00846CDA">
        <w:tc>
          <w:tcPr>
            <w:tcW w:w="4962" w:type="dxa"/>
          </w:tcPr>
          <w:p w14:paraId="1A6EEEFE" w14:textId="77777777" w:rsidR="002F537E" w:rsidRDefault="002F537E" w:rsidP="002F537E">
            <w:pPr>
              <w:pStyle w:val="BodyText2"/>
              <w:rPr>
                <w:b/>
                <w:sz w:val="16"/>
                <w:lang w:val="en-US"/>
              </w:rPr>
            </w:pPr>
          </w:p>
          <w:p w14:paraId="2CD345AA" w14:textId="77777777" w:rsidR="002F537E" w:rsidRDefault="002F537E" w:rsidP="002F537E">
            <w:pPr>
              <w:pStyle w:val="BodyText2"/>
              <w:jc w:val="center"/>
              <w:rPr>
                <w:b/>
                <w:sz w:val="16"/>
                <w:lang w:val="en-US"/>
              </w:rPr>
            </w:pPr>
            <w:r>
              <w:rPr>
                <w:b/>
                <w:sz w:val="16"/>
                <w:lang w:val="en-US"/>
              </w:rPr>
              <w:t xml:space="preserve">C. </w:t>
            </w:r>
            <w:proofErr w:type="spellStart"/>
            <w:r w:rsidRPr="00151643">
              <w:rPr>
                <w:b/>
                <w:sz w:val="16"/>
                <w:lang w:val="en-US"/>
              </w:rPr>
              <w:t>Revisionsstelle</w:t>
            </w:r>
            <w:proofErr w:type="spellEnd"/>
          </w:p>
          <w:p w14:paraId="402457DC" w14:textId="77777777" w:rsidR="002F537E" w:rsidRPr="00151643" w:rsidRDefault="002F537E" w:rsidP="002F537E">
            <w:pPr>
              <w:pStyle w:val="BodyText2"/>
              <w:jc w:val="center"/>
              <w:rPr>
                <w:b/>
                <w:sz w:val="16"/>
                <w:lang w:val="en-US"/>
              </w:rPr>
            </w:pPr>
          </w:p>
        </w:tc>
        <w:tc>
          <w:tcPr>
            <w:tcW w:w="596" w:type="dxa"/>
          </w:tcPr>
          <w:p w14:paraId="4D4B693D" w14:textId="77777777" w:rsidR="002F537E" w:rsidRPr="000907A8" w:rsidRDefault="002F537E" w:rsidP="002F537E">
            <w:pPr>
              <w:pStyle w:val="BodyText2"/>
              <w:jc w:val="center"/>
              <w:rPr>
                <w:sz w:val="16"/>
                <w:lang w:val="en-US"/>
              </w:rPr>
            </w:pPr>
          </w:p>
        </w:tc>
        <w:tc>
          <w:tcPr>
            <w:tcW w:w="5074" w:type="dxa"/>
          </w:tcPr>
          <w:p w14:paraId="61112C97" w14:textId="77777777" w:rsidR="002F537E" w:rsidRDefault="002F537E" w:rsidP="002F537E">
            <w:pPr>
              <w:pStyle w:val="Heading3"/>
              <w:keepNext w:val="0"/>
              <w:keepLines w:val="0"/>
              <w:numPr>
                <w:ilvl w:val="0"/>
                <w:numId w:val="0"/>
              </w:numPr>
              <w:spacing w:before="0" w:after="0"/>
              <w:ind w:left="850" w:hanging="850"/>
              <w:jc w:val="center"/>
              <w:rPr>
                <w:rFonts w:ascii="Verdana" w:hAnsi="Verdana"/>
                <w:kern w:val="0"/>
                <w:sz w:val="16"/>
                <w:lang w:val="en-US"/>
              </w:rPr>
            </w:pPr>
          </w:p>
          <w:p w14:paraId="6AE8781E" w14:textId="77777777" w:rsidR="002F537E" w:rsidRPr="00341920" w:rsidRDefault="002F537E" w:rsidP="002F537E">
            <w:pPr>
              <w:pStyle w:val="BodyText2"/>
              <w:jc w:val="center"/>
              <w:rPr>
                <w:b/>
                <w:sz w:val="16"/>
                <w:lang w:val="en-US"/>
              </w:rPr>
            </w:pPr>
            <w:r>
              <w:rPr>
                <w:b/>
                <w:sz w:val="16"/>
                <w:lang w:val="en-US"/>
              </w:rPr>
              <w:t xml:space="preserve">C. </w:t>
            </w:r>
            <w:r w:rsidRPr="00341920">
              <w:rPr>
                <w:b/>
                <w:sz w:val="16"/>
                <w:lang w:val="en-US"/>
              </w:rPr>
              <w:t>Auditors</w:t>
            </w:r>
          </w:p>
          <w:p w14:paraId="7354F9E0" w14:textId="77777777" w:rsidR="002F537E" w:rsidRPr="00341920" w:rsidRDefault="002F537E" w:rsidP="002F537E">
            <w:pPr>
              <w:pStyle w:val="NormalIndent"/>
              <w:ind w:left="0"/>
              <w:jc w:val="center"/>
              <w:rPr>
                <w:lang w:val="en-US"/>
              </w:rPr>
            </w:pPr>
          </w:p>
        </w:tc>
      </w:tr>
      <w:tr w:rsidR="002F537E" w:rsidRPr="00937FAC" w14:paraId="40E68C61" w14:textId="77777777" w:rsidTr="00846CDA">
        <w:tc>
          <w:tcPr>
            <w:tcW w:w="4962" w:type="dxa"/>
          </w:tcPr>
          <w:p w14:paraId="74D570DF" w14:textId="77777777" w:rsidR="002F537E" w:rsidRPr="008323AD" w:rsidRDefault="002F537E" w:rsidP="002F537E">
            <w:pPr>
              <w:pStyle w:val="BodyText2"/>
              <w:ind w:left="340"/>
              <w:jc w:val="center"/>
              <w:rPr>
                <w:b/>
                <w:sz w:val="16"/>
              </w:rPr>
            </w:pPr>
          </w:p>
          <w:p w14:paraId="3B5819CA" w14:textId="0C736779" w:rsidR="002F537E" w:rsidRPr="008323AD" w:rsidRDefault="002F537E" w:rsidP="002F537E">
            <w:pPr>
              <w:pStyle w:val="BodyText2"/>
              <w:jc w:val="center"/>
              <w:rPr>
                <w:b/>
                <w:sz w:val="16"/>
              </w:rPr>
            </w:pPr>
            <w:r w:rsidRPr="008323AD">
              <w:rPr>
                <w:b/>
                <w:sz w:val="16"/>
              </w:rPr>
              <w:t>Art. 2</w:t>
            </w:r>
            <w:r>
              <w:rPr>
                <w:b/>
                <w:sz w:val="16"/>
              </w:rPr>
              <w:t>3</w:t>
            </w:r>
          </w:p>
          <w:p w14:paraId="3DE2411C" w14:textId="77777777" w:rsidR="002F537E" w:rsidRPr="008323AD" w:rsidRDefault="002F537E" w:rsidP="002F537E">
            <w:pPr>
              <w:pStyle w:val="BodyText2"/>
              <w:jc w:val="center"/>
              <w:rPr>
                <w:sz w:val="16"/>
              </w:rPr>
            </w:pPr>
            <w:r w:rsidRPr="008323AD">
              <w:rPr>
                <w:b/>
                <w:sz w:val="16"/>
              </w:rPr>
              <w:t>Wahl der Revisionsstelle, Befugnisse und Pflichten</w:t>
            </w:r>
          </w:p>
        </w:tc>
        <w:tc>
          <w:tcPr>
            <w:tcW w:w="596" w:type="dxa"/>
          </w:tcPr>
          <w:p w14:paraId="2BE8AA23" w14:textId="77777777" w:rsidR="002F537E" w:rsidRPr="008323AD" w:rsidRDefault="002F537E" w:rsidP="002F537E">
            <w:pPr>
              <w:pStyle w:val="BodyText2"/>
              <w:jc w:val="center"/>
              <w:rPr>
                <w:sz w:val="16"/>
              </w:rPr>
            </w:pPr>
          </w:p>
        </w:tc>
        <w:tc>
          <w:tcPr>
            <w:tcW w:w="5074" w:type="dxa"/>
          </w:tcPr>
          <w:p w14:paraId="17D3C7D3" w14:textId="77777777" w:rsidR="002F537E" w:rsidRPr="008323AD" w:rsidRDefault="002F537E" w:rsidP="002F537E">
            <w:pPr>
              <w:jc w:val="center"/>
              <w:rPr>
                <w:rFonts w:ascii="Verdana" w:hAnsi="Verdana"/>
                <w:b/>
                <w:sz w:val="16"/>
                <w:lang w:val="de-CH"/>
              </w:rPr>
            </w:pPr>
          </w:p>
          <w:p w14:paraId="32A5AB97" w14:textId="425536D8" w:rsidR="002F537E" w:rsidRPr="000907A8" w:rsidRDefault="002F537E" w:rsidP="002F537E">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23</w:t>
            </w:r>
          </w:p>
          <w:p w14:paraId="18B493B4" w14:textId="77777777" w:rsidR="002F537E" w:rsidRPr="000907A8" w:rsidRDefault="002F537E" w:rsidP="002F537E">
            <w:pPr>
              <w:jc w:val="center"/>
              <w:rPr>
                <w:rFonts w:ascii="Verdana" w:hAnsi="Verdana"/>
                <w:b/>
                <w:sz w:val="16"/>
                <w:lang w:val="en-US"/>
              </w:rPr>
            </w:pPr>
            <w:r>
              <w:rPr>
                <w:rFonts w:ascii="Verdana" w:hAnsi="Verdana"/>
                <w:b/>
                <w:sz w:val="16"/>
                <w:lang w:val="en-US"/>
              </w:rPr>
              <w:t>Appointment of the Statutory Auditors, Authority and Duties</w:t>
            </w:r>
          </w:p>
          <w:p w14:paraId="62931DAE" w14:textId="77777777" w:rsidR="002F537E" w:rsidRPr="000907A8" w:rsidRDefault="002F537E" w:rsidP="002F537E">
            <w:pPr>
              <w:pStyle w:val="BodyText2"/>
              <w:jc w:val="center"/>
              <w:rPr>
                <w:sz w:val="16"/>
                <w:lang w:val="en-US"/>
              </w:rPr>
            </w:pPr>
          </w:p>
        </w:tc>
      </w:tr>
      <w:tr w:rsidR="002F537E" w:rsidRPr="00937FAC" w14:paraId="0D549E46" w14:textId="77777777" w:rsidTr="00846CDA">
        <w:tc>
          <w:tcPr>
            <w:tcW w:w="4962" w:type="dxa"/>
          </w:tcPr>
          <w:p w14:paraId="4D83BA34" w14:textId="77777777" w:rsidR="002F537E" w:rsidRDefault="002F537E" w:rsidP="002F537E">
            <w:pPr>
              <w:pStyle w:val="BodyText2"/>
              <w:spacing w:before="60"/>
              <w:rPr>
                <w:sz w:val="16"/>
              </w:rPr>
            </w:pPr>
            <w:r w:rsidRPr="00303C02">
              <w:rPr>
                <w:sz w:val="16"/>
              </w:rPr>
              <w:t>Die Generalversammlung wählt auf die Dauer von einem Jahr eine natürliche oder juristische Person, die die gesetzlichen Erfordernisse erfüllen muss, als Revisionsstelle mit den im Gesetz festgehaltenen Rechten und Pflichten.</w:t>
            </w:r>
          </w:p>
          <w:p w14:paraId="67A43BDA" w14:textId="4B40232C" w:rsidR="002F537E" w:rsidRPr="004E3B2A" w:rsidRDefault="002F537E" w:rsidP="00D35C3E">
            <w:pPr>
              <w:pStyle w:val="BodyText2"/>
              <w:spacing w:before="60"/>
              <w:rPr>
                <w:sz w:val="16"/>
              </w:rPr>
            </w:pPr>
          </w:p>
        </w:tc>
        <w:tc>
          <w:tcPr>
            <w:tcW w:w="596" w:type="dxa"/>
          </w:tcPr>
          <w:p w14:paraId="22991980" w14:textId="77777777" w:rsidR="002F537E" w:rsidRPr="004E3B2A" w:rsidRDefault="002F537E" w:rsidP="002F537E">
            <w:pPr>
              <w:pStyle w:val="BodyText2"/>
              <w:rPr>
                <w:sz w:val="16"/>
              </w:rPr>
            </w:pPr>
          </w:p>
        </w:tc>
        <w:tc>
          <w:tcPr>
            <w:tcW w:w="5074" w:type="dxa"/>
          </w:tcPr>
          <w:p w14:paraId="66740E47" w14:textId="77777777" w:rsidR="002F537E" w:rsidRPr="000907A8" w:rsidRDefault="002F537E" w:rsidP="002F537E">
            <w:pPr>
              <w:pStyle w:val="BodyText2"/>
              <w:spacing w:before="60"/>
              <w:rPr>
                <w:sz w:val="16"/>
                <w:lang w:val="en-US"/>
              </w:rPr>
            </w:pPr>
            <w:r w:rsidRPr="00B129A2">
              <w:rPr>
                <w:sz w:val="16"/>
                <w:lang w:val="en-US"/>
              </w:rPr>
              <w:t>The General Meeting shall appoint an individual or corporate body that satisfies the relevant legal requirements to act as Statutory Auditors, with the rights and obligations prescribed by the law. The Auditors shall be elected for a one-year term of office.</w:t>
            </w:r>
          </w:p>
        </w:tc>
      </w:tr>
      <w:tr w:rsidR="002F537E" w:rsidRPr="00937FAC" w14:paraId="148DCAA0" w14:textId="77777777" w:rsidTr="00846CDA">
        <w:tc>
          <w:tcPr>
            <w:tcW w:w="4962" w:type="dxa"/>
          </w:tcPr>
          <w:p w14:paraId="0248AD2A" w14:textId="77777777" w:rsidR="002F537E" w:rsidRPr="00A1421C" w:rsidRDefault="002F537E" w:rsidP="002F537E">
            <w:pPr>
              <w:pStyle w:val="BodyText2"/>
              <w:ind w:left="340"/>
              <w:jc w:val="center"/>
              <w:rPr>
                <w:sz w:val="16"/>
                <w:lang w:val="en-US"/>
              </w:rPr>
            </w:pPr>
          </w:p>
          <w:p w14:paraId="3927CD8B" w14:textId="77777777" w:rsidR="002F537E" w:rsidRPr="007537E4" w:rsidRDefault="002F537E" w:rsidP="002F537E">
            <w:pPr>
              <w:pStyle w:val="BodyText2"/>
              <w:jc w:val="center"/>
              <w:rPr>
                <w:b/>
                <w:sz w:val="16"/>
              </w:rPr>
            </w:pPr>
            <w:r w:rsidRPr="007537E4">
              <w:rPr>
                <w:b/>
                <w:sz w:val="16"/>
              </w:rPr>
              <w:t>4. Vergütung des Verwaltungsrates und der Geschäftsleitung</w:t>
            </w:r>
          </w:p>
        </w:tc>
        <w:tc>
          <w:tcPr>
            <w:tcW w:w="596" w:type="dxa"/>
          </w:tcPr>
          <w:p w14:paraId="47052A8F" w14:textId="77777777" w:rsidR="002F537E" w:rsidRPr="007537E4" w:rsidRDefault="002F537E" w:rsidP="002F537E">
            <w:pPr>
              <w:pStyle w:val="BodyText2"/>
              <w:jc w:val="center"/>
              <w:rPr>
                <w:sz w:val="16"/>
              </w:rPr>
            </w:pPr>
          </w:p>
        </w:tc>
        <w:tc>
          <w:tcPr>
            <w:tcW w:w="5074" w:type="dxa"/>
          </w:tcPr>
          <w:p w14:paraId="2C3E915C" w14:textId="77777777" w:rsidR="002F537E" w:rsidRPr="007537E4" w:rsidRDefault="002F537E" w:rsidP="002F537E">
            <w:pPr>
              <w:pStyle w:val="BodyText2"/>
              <w:ind w:left="317"/>
              <w:jc w:val="center"/>
              <w:rPr>
                <w:b/>
                <w:sz w:val="16"/>
              </w:rPr>
            </w:pPr>
          </w:p>
          <w:p w14:paraId="775B2EFD" w14:textId="6039CBBE" w:rsidR="002F537E" w:rsidRDefault="002F537E" w:rsidP="002F537E">
            <w:pPr>
              <w:pStyle w:val="BodyText2"/>
              <w:jc w:val="center"/>
              <w:rPr>
                <w:b/>
                <w:sz w:val="16"/>
                <w:lang w:val="en-US"/>
              </w:rPr>
            </w:pPr>
            <w:r w:rsidRPr="00303F85">
              <w:rPr>
                <w:b/>
                <w:sz w:val="16"/>
                <w:lang w:val="en-US"/>
              </w:rPr>
              <w:t xml:space="preserve">4. </w:t>
            </w:r>
            <w:r>
              <w:rPr>
                <w:b/>
                <w:sz w:val="16"/>
                <w:lang w:val="en-US"/>
              </w:rPr>
              <w:t>Compensation</w:t>
            </w:r>
            <w:r w:rsidRPr="00303F85">
              <w:rPr>
                <w:b/>
                <w:sz w:val="16"/>
                <w:lang w:val="en-US"/>
              </w:rPr>
              <w:t xml:space="preserve"> of the Board of Directors and the </w:t>
            </w:r>
            <w:r w:rsidRPr="00AC55CD">
              <w:rPr>
                <w:b/>
                <w:sz w:val="16"/>
                <w:lang w:val="en-US"/>
              </w:rPr>
              <w:t>Group Executive Board</w:t>
            </w:r>
          </w:p>
          <w:p w14:paraId="65A5612C" w14:textId="77777777" w:rsidR="002F537E" w:rsidRPr="000907A8" w:rsidRDefault="002F537E" w:rsidP="002F537E">
            <w:pPr>
              <w:pStyle w:val="BodyText2"/>
              <w:jc w:val="center"/>
              <w:rPr>
                <w:sz w:val="16"/>
                <w:lang w:val="en-US"/>
              </w:rPr>
            </w:pPr>
          </w:p>
        </w:tc>
      </w:tr>
      <w:tr w:rsidR="002F537E" w:rsidRPr="00937FAC" w14:paraId="7906EA2B" w14:textId="77777777" w:rsidTr="00846CDA">
        <w:tc>
          <w:tcPr>
            <w:tcW w:w="4962" w:type="dxa"/>
          </w:tcPr>
          <w:p w14:paraId="1EA324BC" w14:textId="77777777" w:rsidR="002F537E" w:rsidRDefault="002F537E" w:rsidP="002F537E">
            <w:pPr>
              <w:pStyle w:val="BodyText2"/>
              <w:ind w:left="340"/>
              <w:jc w:val="center"/>
              <w:rPr>
                <w:sz w:val="16"/>
                <w:lang w:val="en-US"/>
              </w:rPr>
            </w:pPr>
          </w:p>
          <w:p w14:paraId="73C4F425" w14:textId="5A25C48C" w:rsidR="002F537E" w:rsidRPr="007537E4" w:rsidRDefault="002F537E" w:rsidP="002F537E">
            <w:pPr>
              <w:pStyle w:val="BodyText2"/>
              <w:jc w:val="center"/>
              <w:rPr>
                <w:b/>
                <w:sz w:val="16"/>
                <w:lang w:val="en-US"/>
              </w:rPr>
            </w:pPr>
            <w:r w:rsidRPr="007537E4">
              <w:rPr>
                <w:b/>
                <w:sz w:val="16"/>
                <w:lang w:val="en-US"/>
              </w:rPr>
              <w:t>Art. 2</w:t>
            </w:r>
            <w:r>
              <w:rPr>
                <w:b/>
                <w:sz w:val="16"/>
                <w:lang w:val="en-US"/>
              </w:rPr>
              <w:t>4</w:t>
            </w:r>
          </w:p>
          <w:p w14:paraId="65D723F4" w14:textId="77777777" w:rsidR="002F537E" w:rsidRDefault="002F537E" w:rsidP="002F537E">
            <w:pPr>
              <w:pStyle w:val="BodyText2"/>
              <w:jc w:val="center"/>
              <w:rPr>
                <w:b/>
                <w:sz w:val="16"/>
                <w:lang w:val="en-US"/>
              </w:rPr>
            </w:pPr>
            <w:proofErr w:type="spellStart"/>
            <w:r>
              <w:rPr>
                <w:b/>
                <w:sz w:val="16"/>
                <w:lang w:val="en-US"/>
              </w:rPr>
              <w:t>Vergütung</w:t>
            </w:r>
            <w:proofErr w:type="spellEnd"/>
            <w:r>
              <w:rPr>
                <w:b/>
                <w:sz w:val="16"/>
                <w:lang w:val="en-US"/>
              </w:rPr>
              <w:t xml:space="preserve"> des </w:t>
            </w:r>
            <w:proofErr w:type="spellStart"/>
            <w:r>
              <w:rPr>
                <w:b/>
                <w:sz w:val="16"/>
                <w:lang w:val="en-US"/>
              </w:rPr>
              <w:t>Verwaltungsrats</w:t>
            </w:r>
            <w:proofErr w:type="spellEnd"/>
          </w:p>
          <w:p w14:paraId="098B32DE" w14:textId="77777777" w:rsidR="002F537E" w:rsidRPr="000907A8" w:rsidRDefault="002F537E" w:rsidP="002F537E">
            <w:pPr>
              <w:pStyle w:val="BodyText2"/>
              <w:jc w:val="center"/>
              <w:rPr>
                <w:sz w:val="16"/>
                <w:lang w:val="en-US"/>
              </w:rPr>
            </w:pPr>
          </w:p>
        </w:tc>
        <w:tc>
          <w:tcPr>
            <w:tcW w:w="596" w:type="dxa"/>
          </w:tcPr>
          <w:p w14:paraId="3C2B1F5A" w14:textId="77777777" w:rsidR="002F537E" w:rsidRPr="000907A8" w:rsidRDefault="002F537E" w:rsidP="002F537E">
            <w:pPr>
              <w:pStyle w:val="BodyText2"/>
              <w:jc w:val="center"/>
              <w:rPr>
                <w:sz w:val="16"/>
                <w:lang w:val="en-US"/>
              </w:rPr>
            </w:pPr>
          </w:p>
        </w:tc>
        <w:tc>
          <w:tcPr>
            <w:tcW w:w="5074" w:type="dxa"/>
          </w:tcPr>
          <w:p w14:paraId="5D5E9C15" w14:textId="77777777" w:rsidR="002F537E" w:rsidRDefault="002F537E" w:rsidP="002F537E">
            <w:pPr>
              <w:jc w:val="center"/>
              <w:rPr>
                <w:rFonts w:ascii="Verdana" w:hAnsi="Verdana"/>
                <w:b/>
                <w:sz w:val="16"/>
                <w:lang w:val="en-US"/>
              </w:rPr>
            </w:pPr>
          </w:p>
          <w:p w14:paraId="1196AA0C" w14:textId="75F22505" w:rsidR="002F537E" w:rsidRPr="000907A8" w:rsidRDefault="002F537E" w:rsidP="002F537E">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24</w:t>
            </w:r>
          </w:p>
          <w:p w14:paraId="5C064EB9" w14:textId="77777777" w:rsidR="002F537E" w:rsidRPr="00F07C79" w:rsidRDefault="002F537E" w:rsidP="002F537E">
            <w:pPr>
              <w:jc w:val="center"/>
              <w:rPr>
                <w:rFonts w:ascii="Verdana" w:hAnsi="Verdana"/>
                <w:b/>
                <w:sz w:val="16"/>
                <w:lang w:val="en-US"/>
              </w:rPr>
            </w:pPr>
            <w:r>
              <w:rPr>
                <w:rFonts w:ascii="Verdana" w:hAnsi="Verdana"/>
                <w:b/>
                <w:sz w:val="16"/>
                <w:lang w:val="en-US"/>
              </w:rPr>
              <w:t xml:space="preserve">Compensation </w:t>
            </w:r>
            <w:proofErr w:type="gramStart"/>
            <w:r>
              <w:rPr>
                <w:rFonts w:ascii="Verdana" w:hAnsi="Verdana"/>
                <w:b/>
                <w:sz w:val="16"/>
                <w:lang w:val="en-US"/>
              </w:rPr>
              <w:t>of</w:t>
            </w:r>
            <w:proofErr w:type="gramEnd"/>
            <w:r>
              <w:rPr>
                <w:rFonts w:ascii="Verdana" w:hAnsi="Verdana"/>
                <w:b/>
                <w:sz w:val="16"/>
                <w:lang w:val="en-US"/>
              </w:rPr>
              <w:t xml:space="preserve"> the Board of Directors</w:t>
            </w:r>
          </w:p>
        </w:tc>
      </w:tr>
      <w:tr w:rsidR="002F537E" w:rsidRPr="001A322C" w14:paraId="7AF083F8" w14:textId="77777777" w:rsidTr="00846CDA">
        <w:tc>
          <w:tcPr>
            <w:tcW w:w="4962" w:type="dxa"/>
          </w:tcPr>
          <w:p w14:paraId="086397BC" w14:textId="19AFD5EF" w:rsidR="002F537E" w:rsidRPr="00634591" w:rsidRDefault="002F537E" w:rsidP="002F537E">
            <w:pPr>
              <w:pStyle w:val="BodyText2"/>
              <w:spacing w:before="60"/>
              <w:rPr>
                <w:sz w:val="16"/>
              </w:rPr>
            </w:pPr>
            <w:r w:rsidRPr="00A2176F">
              <w:rPr>
                <w:sz w:val="16"/>
              </w:rPr>
              <w:t>Die Mitglieder des Verwaltungsrates erhalten eine fixe Vergütung</w:t>
            </w:r>
            <w:r>
              <w:rPr>
                <w:sz w:val="16"/>
              </w:rPr>
              <w:t>. Diese besteht aus einer Grundvergütung sowie gegebenenfalls Entschädigungen für die Mitgliedschaft in Ausschüssen sowie für spezifische Aufgaben im Verwaltungsrat</w:t>
            </w:r>
            <w:r w:rsidRPr="00A2176F">
              <w:rPr>
                <w:sz w:val="16"/>
              </w:rPr>
              <w:t xml:space="preserve">. </w:t>
            </w:r>
            <w:r w:rsidRPr="001A322C">
              <w:rPr>
                <w:sz w:val="16"/>
              </w:rPr>
              <w:t xml:space="preserve">Der Verwaltungsrat oder einer seiner Ausschüsse kann bestimmen, dass die Vergütung aller oder einzelner Mitglieder des Verwaltungsrats teilweise oder </w:t>
            </w:r>
            <w:r>
              <w:rPr>
                <w:sz w:val="16"/>
              </w:rPr>
              <w:t xml:space="preserve">ganz in der Form von frei handelbaren oder gesperrten Aktien oder ähnlichen </w:t>
            </w:r>
            <w:r w:rsidRPr="00303393">
              <w:rPr>
                <w:sz w:val="16"/>
              </w:rPr>
              <w:t>Beteiligungsrechten (aktienbasierte Awards)</w:t>
            </w:r>
            <w:r>
              <w:rPr>
                <w:sz w:val="16"/>
              </w:rPr>
              <w:t xml:space="preserve">, wie z.B. </w:t>
            </w:r>
            <w:proofErr w:type="spellStart"/>
            <w:r>
              <w:rPr>
                <w:sz w:val="16"/>
              </w:rPr>
              <w:t>restricted</w:t>
            </w:r>
            <w:proofErr w:type="spellEnd"/>
            <w:r>
              <w:rPr>
                <w:sz w:val="16"/>
              </w:rPr>
              <w:t xml:space="preserve"> stock </w:t>
            </w:r>
            <w:proofErr w:type="spellStart"/>
            <w:r>
              <w:rPr>
                <w:sz w:val="16"/>
              </w:rPr>
              <w:t>units</w:t>
            </w:r>
            <w:proofErr w:type="spellEnd"/>
            <w:r>
              <w:rPr>
                <w:sz w:val="16"/>
              </w:rPr>
              <w:t xml:space="preserve"> (RSUs) aus</w:t>
            </w:r>
            <w:r w:rsidRPr="001A322C">
              <w:rPr>
                <w:sz w:val="16"/>
              </w:rPr>
              <w:t>bezahlt wird</w:t>
            </w:r>
            <w:r>
              <w:rPr>
                <w:sz w:val="16"/>
              </w:rPr>
              <w:t xml:space="preserve">. Falls durch den Verwaltungsrat beschlossen, können solche Aktien der Verwirkung oder Mechanismen zur Rückforderung unterliegen. </w:t>
            </w:r>
          </w:p>
        </w:tc>
        <w:tc>
          <w:tcPr>
            <w:tcW w:w="596" w:type="dxa"/>
          </w:tcPr>
          <w:p w14:paraId="6FC0BBBE" w14:textId="77777777" w:rsidR="002F537E" w:rsidRPr="00484A7C" w:rsidRDefault="002F537E" w:rsidP="002F537E">
            <w:pPr>
              <w:pStyle w:val="BodyText2"/>
              <w:jc w:val="center"/>
              <w:rPr>
                <w:sz w:val="16"/>
              </w:rPr>
            </w:pPr>
          </w:p>
        </w:tc>
        <w:tc>
          <w:tcPr>
            <w:tcW w:w="5074" w:type="dxa"/>
          </w:tcPr>
          <w:p w14:paraId="2F58C0FD" w14:textId="5A1EC60A" w:rsidR="002F537E" w:rsidRPr="00F42D85" w:rsidRDefault="002F537E" w:rsidP="002F537E">
            <w:pPr>
              <w:pStyle w:val="BodyText2"/>
              <w:spacing w:before="60"/>
              <w:rPr>
                <w:b/>
                <w:sz w:val="16"/>
                <w:lang w:val="en-US"/>
              </w:rPr>
            </w:pPr>
            <w:r w:rsidRPr="00B129A2">
              <w:rPr>
                <w:sz w:val="16"/>
                <w:lang w:val="en-US"/>
              </w:rPr>
              <w:t xml:space="preserve">The members of the Board of Directors shall receive fixed compensation, which consists of a basic fee and, if applicable, fees for membership </w:t>
            </w:r>
            <w:proofErr w:type="gramStart"/>
            <w:r w:rsidRPr="00B129A2">
              <w:rPr>
                <w:sz w:val="16"/>
                <w:lang w:val="en-US"/>
              </w:rPr>
              <w:t>in</w:t>
            </w:r>
            <w:proofErr w:type="gramEnd"/>
            <w:r w:rsidRPr="00B129A2">
              <w:rPr>
                <w:sz w:val="16"/>
                <w:lang w:val="en-US"/>
              </w:rPr>
              <w:t xml:space="preserve"> committees as well as for </w:t>
            </w:r>
            <w:proofErr w:type="gramStart"/>
            <w:r w:rsidRPr="00B129A2">
              <w:rPr>
                <w:sz w:val="16"/>
                <w:lang w:val="en-US"/>
              </w:rPr>
              <w:t>particular roles</w:t>
            </w:r>
            <w:proofErr w:type="gramEnd"/>
            <w:r w:rsidRPr="00B129A2">
              <w:rPr>
                <w:sz w:val="16"/>
                <w:lang w:val="en-US"/>
              </w:rPr>
              <w:t xml:space="preserve"> within the Board of Directors. The Board of Directors or a committee thereof may determine that the compensation of </w:t>
            </w:r>
            <w:proofErr w:type="gramStart"/>
            <w:r w:rsidRPr="00B129A2">
              <w:rPr>
                <w:sz w:val="16"/>
                <w:lang w:val="en-US"/>
              </w:rPr>
              <w:t>all or</w:t>
            </w:r>
            <w:proofErr w:type="gramEnd"/>
            <w:r w:rsidRPr="00B129A2">
              <w:rPr>
                <w:sz w:val="16"/>
                <w:lang w:val="en-US"/>
              </w:rPr>
              <w:t xml:space="preserve"> individual members of the Board of Directors be paid in part or in full in the form of shares that are freely tradable or blocked for trading for a specific period, or similar equity awards, such as restricted stock units (RSUs). If </w:t>
            </w:r>
            <w:proofErr w:type="gramStart"/>
            <w:r w:rsidRPr="00B129A2">
              <w:rPr>
                <w:sz w:val="16"/>
                <w:lang w:val="en-US"/>
              </w:rPr>
              <w:t>so</w:t>
            </w:r>
            <w:proofErr w:type="gramEnd"/>
            <w:r w:rsidRPr="00B129A2">
              <w:rPr>
                <w:sz w:val="16"/>
                <w:lang w:val="en-US"/>
              </w:rPr>
              <w:t xml:space="preserve"> determined by the Board of Directors, such shares can be made subject to forfeiture conditions or claw back mechanisms.</w:t>
            </w:r>
          </w:p>
        </w:tc>
      </w:tr>
      <w:tr w:rsidR="002F537E" w:rsidRPr="001A322C" w14:paraId="695F3253" w14:textId="77777777" w:rsidTr="00846CDA">
        <w:tc>
          <w:tcPr>
            <w:tcW w:w="4962" w:type="dxa"/>
          </w:tcPr>
          <w:p w14:paraId="7803CE08" w14:textId="77777777" w:rsidR="002F537E" w:rsidRDefault="002F537E" w:rsidP="002F537E">
            <w:pPr>
              <w:pStyle w:val="BodyText2"/>
              <w:ind w:left="340"/>
              <w:jc w:val="center"/>
              <w:rPr>
                <w:sz w:val="16"/>
                <w:lang w:val="en-US"/>
              </w:rPr>
            </w:pPr>
          </w:p>
          <w:p w14:paraId="4503FC5F" w14:textId="65831BD0" w:rsidR="002F537E" w:rsidRPr="007537E4" w:rsidRDefault="002F537E" w:rsidP="002F537E">
            <w:pPr>
              <w:pStyle w:val="BodyText2"/>
              <w:jc w:val="center"/>
              <w:rPr>
                <w:b/>
                <w:sz w:val="16"/>
                <w:lang w:val="en-US"/>
              </w:rPr>
            </w:pPr>
            <w:r w:rsidRPr="007537E4">
              <w:rPr>
                <w:b/>
                <w:sz w:val="16"/>
                <w:lang w:val="en-US"/>
              </w:rPr>
              <w:t>Art. 2</w:t>
            </w:r>
            <w:r>
              <w:rPr>
                <w:b/>
                <w:sz w:val="16"/>
                <w:lang w:val="en-US"/>
              </w:rPr>
              <w:t>5</w:t>
            </w:r>
          </w:p>
          <w:p w14:paraId="44F59EE7" w14:textId="77777777" w:rsidR="002F537E" w:rsidRDefault="002F537E" w:rsidP="002F537E">
            <w:pPr>
              <w:pStyle w:val="BodyText2"/>
              <w:jc w:val="center"/>
              <w:rPr>
                <w:b/>
                <w:sz w:val="16"/>
                <w:lang w:val="en-US"/>
              </w:rPr>
            </w:pPr>
            <w:proofErr w:type="spellStart"/>
            <w:r>
              <w:rPr>
                <w:b/>
                <w:sz w:val="16"/>
                <w:lang w:val="en-US"/>
              </w:rPr>
              <w:t>Vergütung</w:t>
            </w:r>
            <w:proofErr w:type="spellEnd"/>
            <w:r>
              <w:rPr>
                <w:b/>
                <w:sz w:val="16"/>
                <w:lang w:val="en-US"/>
              </w:rPr>
              <w:t xml:space="preserve"> der </w:t>
            </w:r>
            <w:proofErr w:type="spellStart"/>
            <w:r>
              <w:rPr>
                <w:b/>
                <w:sz w:val="16"/>
                <w:lang w:val="en-US"/>
              </w:rPr>
              <w:t>Geschäftsleitung</w:t>
            </w:r>
            <w:proofErr w:type="spellEnd"/>
          </w:p>
          <w:p w14:paraId="1DDDEE52" w14:textId="77777777" w:rsidR="002F537E" w:rsidRPr="001A322C" w:rsidRDefault="002F537E" w:rsidP="002F537E">
            <w:pPr>
              <w:pStyle w:val="BodyText2"/>
              <w:ind w:left="340"/>
              <w:jc w:val="center"/>
              <w:rPr>
                <w:sz w:val="16"/>
                <w:lang w:val="en-US"/>
              </w:rPr>
            </w:pPr>
          </w:p>
        </w:tc>
        <w:tc>
          <w:tcPr>
            <w:tcW w:w="596" w:type="dxa"/>
          </w:tcPr>
          <w:p w14:paraId="660C7091" w14:textId="77777777" w:rsidR="002F537E" w:rsidRPr="001A322C" w:rsidRDefault="002F537E" w:rsidP="002F537E">
            <w:pPr>
              <w:pStyle w:val="BodyText2"/>
              <w:jc w:val="center"/>
              <w:rPr>
                <w:sz w:val="16"/>
                <w:lang w:val="en-US"/>
              </w:rPr>
            </w:pPr>
          </w:p>
        </w:tc>
        <w:tc>
          <w:tcPr>
            <w:tcW w:w="5074" w:type="dxa"/>
          </w:tcPr>
          <w:p w14:paraId="06474E09" w14:textId="77777777" w:rsidR="002F537E" w:rsidRDefault="002F537E" w:rsidP="002F537E">
            <w:pPr>
              <w:jc w:val="center"/>
              <w:rPr>
                <w:rFonts w:ascii="Verdana" w:hAnsi="Verdana"/>
                <w:b/>
                <w:sz w:val="16"/>
                <w:lang w:val="en-US"/>
              </w:rPr>
            </w:pPr>
          </w:p>
          <w:p w14:paraId="78895D33" w14:textId="71CEE316" w:rsidR="002F537E" w:rsidRPr="000907A8" w:rsidRDefault="002F537E" w:rsidP="002F537E">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25</w:t>
            </w:r>
          </w:p>
          <w:p w14:paraId="48C954A1" w14:textId="4B289F9A" w:rsidR="002F537E" w:rsidRDefault="002F537E" w:rsidP="002F537E">
            <w:pPr>
              <w:jc w:val="center"/>
              <w:rPr>
                <w:rFonts w:ascii="Verdana" w:hAnsi="Verdana"/>
                <w:b/>
                <w:sz w:val="16"/>
                <w:lang w:val="en-US"/>
              </w:rPr>
            </w:pPr>
            <w:r w:rsidRPr="00FC0005">
              <w:rPr>
                <w:rFonts w:ascii="Verdana" w:hAnsi="Verdana"/>
                <w:b/>
                <w:sz w:val="16"/>
                <w:lang w:val="en-US"/>
              </w:rPr>
              <w:t xml:space="preserve">Compensation </w:t>
            </w:r>
            <w:r>
              <w:rPr>
                <w:rFonts w:ascii="Verdana" w:hAnsi="Verdana"/>
                <w:b/>
                <w:sz w:val="16"/>
                <w:lang w:val="en-US"/>
              </w:rPr>
              <w:t xml:space="preserve">of the </w:t>
            </w:r>
            <w:r w:rsidRPr="00AC55CD">
              <w:rPr>
                <w:rFonts w:ascii="Verdana" w:hAnsi="Verdana"/>
                <w:b/>
                <w:sz w:val="16"/>
                <w:lang w:val="en-US"/>
              </w:rPr>
              <w:t>Group Executive Board</w:t>
            </w:r>
          </w:p>
          <w:p w14:paraId="6EC07BED" w14:textId="77777777" w:rsidR="002F537E" w:rsidRPr="001A322C" w:rsidRDefault="002F537E" w:rsidP="002F537E">
            <w:pPr>
              <w:jc w:val="center"/>
              <w:rPr>
                <w:rFonts w:ascii="Verdana" w:hAnsi="Verdana"/>
                <w:b/>
                <w:sz w:val="16"/>
                <w:lang w:val="en-US"/>
              </w:rPr>
            </w:pPr>
          </w:p>
        </w:tc>
      </w:tr>
      <w:tr w:rsidR="002F537E" w:rsidRPr="00937FAC" w14:paraId="2E84B7ED" w14:textId="77777777" w:rsidTr="00846CDA">
        <w:trPr>
          <w:trHeight w:val="815"/>
        </w:trPr>
        <w:tc>
          <w:tcPr>
            <w:tcW w:w="4962" w:type="dxa"/>
          </w:tcPr>
          <w:p w14:paraId="611EE62D" w14:textId="312B6729" w:rsidR="002F537E" w:rsidRPr="00FA51CE" w:rsidRDefault="002F537E" w:rsidP="00C825D6">
            <w:pPr>
              <w:pStyle w:val="BodyText2"/>
              <w:numPr>
                <w:ilvl w:val="0"/>
                <w:numId w:val="26"/>
              </w:numPr>
              <w:spacing w:before="60"/>
              <w:ind w:left="425" w:hanging="425"/>
              <w:rPr>
                <w:sz w:val="16"/>
              </w:rPr>
            </w:pPr>
            <w:r w:rsidRPr="00A2176F">
              <w:rPr>
                <w:sz w:val="16"/>
              </w:rPr>
              <w:t xml:space="preserve">Die Mitglieder der Geschäftsleitung erhalten eine fixe </w:t>
            </w:r>
            <w:r>
              <w:rPr>
                <w:sz w:val="16"/>
              </w:rPr>
              <w:t>Vergütung besteh</w:t>
            </w:r>
            <w:r w:rsidRPr="00A2176F">
              <w:rPr>
                <w:sz w:val="16"/>
              </w:rPr>
              <w:t>end aus einer Grundvergütung und gewissen weiteren Zahlungen und Leistungen aus dem Arbeitsverhältnis</w:t>
            </w:r>
            <w:r>
              <w:rPr>
                <w:sz w:val="16"/>
              </w:rPr>
              <w:t>.</w:t>
            </w:r>
            <w:r w:rsidRPr="00FA51CE">
              <w:rPr>
                <w:sz w:val="16"/>
              </w:rPr>
              <w:t xml:space="preserve"> </w:t>
            </w:r>
          </w:p>
        </w:tc>
        <w:tc>
          <w:tcPr>
            <w:tcW w:w="596" w:type="dxa"/>
            <w:vMerge w:val="restart"/>
          </w:tcPr>
          <w:p w14:paraId="7971347F" w14:textId="77777777" w:rsidR="002F537E" w:rsidRPr="007537E4" w:rsidRDefault="002F537E" w:rsidP="002F537E">
            <w:pPr>
              <w:pStyle w:val="BodyText2"/>
              <w:ind w:left="425" w:hanging="425"/>
              <w:rPr>
                <w:sz w:val="16"/>
              </w:rPr>
            </w:pPr>
          </w:p>
        </w:tc>
        <w:tc>
          <w:tcPr>
            <w:tcW w:w="5074" w:type="dxa"/>
          </w:tcPr>
          <w:p w14:paraId="19FD8930" w14:textId="147A2830" w:rsidR="002F537E" w:rsidRPr="00BC76F0" w:rsidRDefault="002F537E" w:rsidP="00C825D6">
            <w:pPr>
              <w:pStyle w:val="BodyText2"/>
              <w:numPr>
                <w:ilvl w:val="0"/>
                <w:numId w:val="48"/>
              </w:numPr>
              <w:spacing w:before="60"/>
              <w:ind w:left="425" w:hanging="425"/>
              <w:rPr>
                <w:sz w:val="16"/>
                <w:lang w:val="en-US"/>
              </w:rPr>
            </w:pPr>
            <w:r w:rsidRPr="00B129A2">
              <w:rPr>
                <w:sz w:val="16"/>
                <w:lang w:val="en-US"/>
              </w:rPr>
              <w:t xml:space="preserve">The members of </w:t>
            </w:r>
            <w:proofErr w:type="gramStart"/>
            <w:r w:rsidRPr="00B129A2">
              <w:rPr>
                <w:sz w:val="16"/>
                <w:lang w:val="en-US"/>
              </w:rPr>
              <w:t>the Group</w:t>
            </w:r>
            <w:proofErr w:type="gramEnd"/>
            <w:r w:rsidRPr="00B129A2">
              <w:rPr>
                <w:sz w:val="16"/>
                <w:lang w:val="en-US"/>
              </w:rPr>
              <w:t xml:space="preserve"> Executive Board shall receive fixed compensation consisting of a base salary and certain other employment payments and benefits.</w:t>
            </w:r>
          </w:p>
        </w:tc>
      </w:tr>
      <w:tr w:rsidR="002F537E" w:rsidRPr="00937FAC" w14:paraId="177B8EC6" w14:textId="77777777" w:rsidTr="00846CDA">
        <w:trPr>
          <w:trHeight w:val="815"/>
        </w:trPr>
        <w:tc>
          <w:tcPr>
            <w:tcW w:w="4962" w:type="dxa"/>
          </w:tcPr>
          <w:p w14:paraId="60BFA49E" w14:textId="2B511500" w:rsidR="002F537E" w:rsidRPr="00EA1F01" w:rsidRDefault="002F537E" w:rsidP="00C825D6">
            <w:pPr>
              <w:pStyle w:val="BodyText2"/>
              <w:numPr>
                <w:ilvl w:val="0"/>
                <w:numId w:val="26"/>
              </w:numPr>
              <w:spacing w:before="60"/>
              <w:ind w:left="425" w:hanging="425"/>
              <w:rPr>
                <w:sz w:val="16"/>
              </w:rPr>
            </w:pPr>
            <w:r>
              <w:rPr>
                <w:sz w:val="16"/>
              </w:rPr>
              <w:t xml:space="preserve">Darüber hinaus können die Mitglieder der Geschäftsleitung eine variable Vergütung erhalten. </w:t>
            </w:r>
            <w:r w:rsidRPr="00303393">
              <w:rPr>
                <w:sz w:val="16"/>
              </w:rPr>
              <w:t>Variable Vergütungen, die Mitgliedern der Geschäftsleitung im Zusammenhang mit einem bestimmten Jahr bezahlt oder gewährt werden, können aus ei</w:t>
            </w:r>
            <w:r>
              <w:rPr>
                <w:sz w:val="16"/>
              </w:rPr>
              <w:t>nem Bonus in bar gemäss Absatz 4</w:t>
            </w:r>
            <w:r w:rsidRPr="00303393">
              <w:rPr>
                <w:sz w:val="16"/>
              </w:rPr>
              <w:t xml:space="preserve"> dieses Artikels und aus Zuteilungen von Beteiligungsrechten (aktienbasierten Awards) mit langfristig</w:t>
            </w:r>
            <w:r>
              <w:rPr>
                <w:sz w:val="16"/>
              </w:rPr>
              <w:t>er Anreizwirkung gemäss Absatz 5</w:t>
            </w:r>
            <w:r w:rsidRPr="00303393">
              <w:rPr>
                <w:sz w:val="16"/>
              </w:rPr>
              <w:t xml:space="preserve"> dieses Artikels bestehen, zuzüglich gegebenenfalls Beiträgen des Arbeitsgebers für die Pensionskasse und Sozialversicherungen. In besonderen Fällen und nach vorgängiger Genehmigung durch die Generalversammlung können die Mitglieder der Geschäftsleitung einen zusätzlichen Ermessensbonus erhalten. </w:t>
            </w:r>
          </w:p>
        </w:tc>
        <w:tc>
          <w:tcPr>
            <w:tcW w:w="596" w:type="dxa"/>
            <w:vMerge/>
          </w:tcPr>
          <w:p w14:paraId="331B3C22" w14:textId="77777777" w:rsidR="002F537E" w:rsidRPr="007537E4" w:rsidRDefault="002F537E" w:rsidP="002F537E">
            <w:pPr>
              <w:pStyle w:val="BodyText2"/>
              <w:ind w:left="425" w:hanging="425"/>
              <w:rPr>
                <w:sz w:val="16"/>
              </w:rPr>
            </w:pPr>
          </w:p>
        </w:tc>
        <w:tc>
          <w:tcPr>
            <w:tcW w:w="5074" w:type="dxa"/>
          </w:tcPr>
          <w:p w14:paraId="36DEAC0F" w14:textId="66802EFA" w:rsidR="002F537E" w:rsidRPr="00BC76F0" w:rsidRDefault="002F537E" w:rsidP="00C825D6">
            <w:pPr>
              <w:pStyle w:val="BodyText2"/>
              <w:numPr>
                <w:ilvl w:val="0"/>
                <w:numId w:val="48"/>
              </w:numPr>
              <w:spacing w:before="60"/>
              <w:ind w:left="425" w:hanging="425"/>
              <w:rPr>
                <w:sz w:val="16"/>
                <w:lang w:val="en-US"/>
              </w:rPr>
            </w:pPr>
            <w:r w:rsidRPr="00B129A2">
              <w:rPr>
                <w:sz w:val="16"/>
                <w:lang w:val="en-US"/>
              </w:rPr>
              <w:t xml:space="preserve">In addition, the members of the </w:t>
            </w:r>
            <w:proofErr w:type="gramStart"/>
            <w:r w:rsidRPr="00B129A2">
              <w:rPr>
                <w:sz w:val="16"/>
                <w:lang w:val="en-US"/>
              </w:rPr>
              <w:t>Group Executive Board</w:t>
            </w:r>
            <w:proofErr w:type="gramEnd"/>
            <w:r w:rsidRPr="00B129A2">
              <w:rPr>
                <w:sz w:val="16"/>
                <w:lang w:val="en-US"/>
              </w:rPr>
              <w:t xml:space="preserve"> may receive variable compensation. Variable compensation paid or granted to the members of the Group Executive Board in relation to a certain year may consist of a cash bonus pursuant to paragraph 4 of this article and </w:t>
            </w:r>
            <w:proofErr w:type="spellStart"/>
            <w:r w:rsidRPr="00B129A2">
              <w:rPr>
                <w:sz w:val="16"/>
                <w:lang w:val="en-US"/>
              </w:rPr>
              <w:t>long­term</w:t>
            </w:r>
            <w:proofErr w:type="spellEnd"/>
            <w:r w:rsidRPr="00B129A2">
              <w:rPr>
                <w:sz w:val="16"/>
                <w:lang w:val="en-US"/>
              </w:rPr>
              <w:t xml:space="preserve"> incentive equity awards pursuant to paragraph 5 of this article plus, if applicable, social security and pension plan contributions on the part of the employer. In exceptional cases the members of the Group Executive Board may receive an additional discretionary bonus upon prior approval by the General Meeting. </w:t>
            </w:r>
          </w:p>
        </w:tc>
      </w:tr>
      <w:tr w:rsidR="002F537E" w:rsidRPr="00937FAC" w14:paraId="02E684C1" w14:textId="77777777" w:rsidTr="00846CDA">
        <w:trPr>
          <w:trHeight w:val="815"/>
        </w:trPr>
        <w:tc>
          <w:tcPr>
            <w:tcW w:w="4962" w:type="dxa"/>
          </w:tcPr>
          <w:p w14:paraId="7A20F4CE" w14:textId="706F2791" w:rsidR="002F537E" w:rsidRPr="00A2176F" w:rsidRDefault="002F537E" w:rsidP="00C825D6">
            <w:pPr>
              <w:pStyle w:val="BodyText2"/>
              <w:numPr>
                <w:ilvl w:val="0"/>
                <w:numId w:val="26"/>
              </w:numPr>
              <w:spacing w:before="60"/>
              <w:ind w:left="425" w:hanging="425"/>
              <w:rPr>
                <w:sz w:val="16"/>
              </w:rPr>
            </w:pPr>
            <w:r w:rsidRPr="009D656C">
              <w:rPr>
                <w:sz w:val="16"/>
              </w:rPr>
              <w:lastRenderedPageBreak/>
              <w:t xml:space="preserve">Variable Vergütungen beruhen auf </w:t>
            </w:r>
            <w:r>
              <w:rPr>
                <w:sz w:val="16"/>
              </w:rPr>
              <w:t xml:space="preserve">quantitativen und qualitativen </w:t>
            </w:r>
            <w:r w:rsidRPr="009D656C">
              <w:rPr>
                <w:sz w:val="16"/>
              </w:rPr>
              <w:t>Performancekriterien, welche die Performance der Gesellschaft und der Gruppe und/oder von deren Geschäftseinheiten und/oder individuelle Zielen berücksichtigen. Der Verwaltungsrat oder der Vergütungs</w:t>
            </w:r>
            <w:r>
              <w:rPr>
                <w:sz w:val="16"/>
              </w:rPr>
              <w:t>ausschuss setzen Performancekri</w:t>
            </w:r>
            <w:r w:rsidRPr="009D656C">
              <w:rPr>
                <w:sz w:val="16"/>
              </w:rPr>
              <w:t>terien, Zielwerte und deren Erreichung fest (wobei die Bestimmung von individuellen Zielen und deren Erreichung in Bezug auf jedes andere Mitglied der Geschäftsleitung an den Chief Executive Officer delegier</w:t>
            </w:r>
            <w:r>
              <w:rPr>
                <w:sz w:val="16"/>
              </w:rPr>
              <w:t>t werden kann). Wenn der Ver</w:t>
            </w:r>
            <w:r w:rsidRPr="009D656C">
              <w:rPr>
                <w:sz w:val="16"/>
              </w:rPr>
              <w:t>waltungsrat oder der Vergütungsausschuss es als zweckmässig erachtet, kann er auch Zuteilungen mit langfristiger Anreizwirkung gewähren, welche unabhängig von der Erreichung von Zielen in der Vergangenheit an die zukünftige Performance geknüpft sind.</w:t>
            </w:r>
          </w:p>
        </w:tc>
        <w:tc>
          <w:tcPr>
            <w:tcW w:w="596" w:type="dxa"/>
            <w:vMerge/>
          </w:tcPr>
          <w:p w14:paraId="5D5C697C" w14:textId="77777777" w:rsidR="002F537E" w:rsidRPr="007537E4" w:rsidRDefault="002F537E" w:rsidP="002F537E">
            <w:pPr>
              <w:pStyle w:val="BodyText2"/>
              <w:ind w:left="425" w:hanging="425"/>
              <w:rPr>
                <w:sz w:val="16"/>
              </w:rPr>
            </w:pPr>
          </w:p>
        </w:tc>
        <w:tc>
          <w:tcPr>
            <w:tcW w:w="5074" w:type="dxa"/>
          </w:tcPr>
          <w:p w14:paraId="3D47B48E" w14:textId="522EF9BD" w:rsidR="002F537E" w:rsidRPr="002275B8" w:rsidRDefault="002F537E" w:rsidP="00C825D6">
            <w:pPr>
              <w:pStyle w:val="BodyText2"/>
              <w:numPr>
                <w:ilvl w:val="0"/>
                <w:numId w:val="48"/>
              </w:numPr>
              <w:spacing w:before="60"/>
              <w:ind w:left="425" w:hanging="425"/>
              <w:rPr>
                <w:sz w:val="16"/>
                <w:lang w:val="en-US"/>
              </w:rPr>
            </w:pPr>
            <w:r w:rsidRPr="00B129A2">
              <w:rPr>
                <w:sz w:val="16"/>
                <w:lang w:val="en-US"/>
              </w:rPr>
              <w:t xml:space="preserve">Variable compensation shall be based on quantitative and qualitative performance criteria that </w:t>
            </w:r>
            <w:proofErr w:type="gramStart"/>
            <w:r w:rsidRPr="00B129A2">
              <w:rPr>
                <w:sz w:val="16"/>
                <w:lang w:val="en-US"/>
              </w:rPr>
              <w:t>take into account</w:t>
            </w:r>
            <w:proofErr w:type="gramEnd"/>
            <w:r w:rsidRPr="00B129A2">
              <w:rPr>
                <w:sz w:val="16"/>
                <w:lang w:val="en-US"/>
              </w:rPr>
              <w:t xml:space="preserve"> the performance of the Company and the group and/or operating units thereof, and/or individual targets. The Board of Directors or the Compensation Committee determines performance criteria, target levels, and their achievement (it being understood that the determination of individual targets and their achievement may be delegated to the chief executive officer in respect to any other member of the Group Executive Board). </w:t>
            </w:r>
            <w:proofErr w:type="spellStart"/>
            <w:r w:rsidRPr="00B129A2">
              <w:rPr>
                <w:sz w:val="16"/>
                <w:lang w:val="en-US"/>
              </w:rPr>
              <w:t>lf</w:t>
            </w:r>
            <w:proofErr w:type="spellEnd"/>
            <w:r w:rsidRPr="00B129A2">
              <w:rPr>
                <w:sz w:val="16"/>
                <w:lang w:val="en-US"/>
              </w:rPr>
              <w:t xml:space="preserve"> deemed appropriate, the Board of Directors or Compensation Committee may also grant long-term incentive awards that are linked to future performance independently from the achievement of targets in the past.</w:t>
            </w:r>
          </w:p>
        </w:tc>
      </w:tr>
      <w:tr w:rsidR="002F537E" w:rsidRPr="00937FAC" w14:paraId="2220FDAA" w14:textId="77777777" w:rsidTr="00846CDA">
        <w:trPr>
          <w:trHeight w:val="404"/>
        </w:trPr>
        <w:tc>
          <w:tcPr>
            <w:tcW w:w="4962" w:type="dxa"/>
          </w:tcPr>
          <w:p w14:paraId="607F996F" w14:textId="3FE199EB" w:rsidR="002F537E" w:rsidRPr="00EA1F01" w:rsidRDefault="002F537E" w:rsidP="00C825D6">
            <w:pPr>
              <w:pStyle w:val="BodyText2"/>
              <w:numPr>
                <w:ilvl w:val="0"/>
                <w:numId w:val="26"/>
              </w:numPr>
              <w:spacing w:before="60"/>
              <w:ind w:left="425" w:hanging="425"/>
              <w:rPr>
                <w:sz w:val="16"/>
              </w:rPr>
            </w:pPr>
            <w:r w:rsidRPr="009D656C">
              <w:rPr>
                <w:sz w:val="16"/>
              </w:rPr>
              <w:t>Der Bonus in bar wird unter Anwendung der obengenannten Kriterien und Rahmenbedingungen basierend auf Leistungen ausbezahlt.</w:t>
            </w:r>
          </w:p>
        </w:tc>
        <w:tc>
          <w:tcPr>
            <w:tcW w:w="596" w:type="dxa"/>
            <w:vMerge/>
          </w:tcPr>
          <w:p w14:paraId="1A2E0F72" w14:textId="77777777" w:rsidR="002F537E" w:rsidRPr="007537E4" w:rsidRDefault="002F537E" w:rsidP="002F537E">
            <w:pPr>
              <w:pStyle w:val="BodyText2"/>
              <w:ind w:left="425" w:hanging="425"/>
              <w:rPr>
                <w:sz w:val="16"/>
              </w:rPr>
            </w:pPr>
          </w:p>
        </w:tc>
        <w:tc>
          <w:tcPr>
            <w:tcW w:w="5074" w:type="dxa"/>
          </w:tcPr>
          <w:p w14:paraId="741343E7" w14:textId="715683B2" w:rsidR="002F537E" w:rsidRPr="002275B8" w:rsidRDefault="002F537E" w:rsidP="00C825D6">
            <w:pPr>
              <w:pStyle w:val="BodyText2"/>
              <w:numPr>
                <w:ilvl w:val="0"/>
                <w:numId w:val="48"/>
              </w:numPr>
              <w:spacing w:before="60"/>
              <w:ind w:left="425" w:hanging="425"/>
              <w:rPr>
                <w:sz w:val="16"/>
                <w:lang w:val="en-US"/>
              </w:rPr>
            </w:pPr>
            <w:r w:rsidRPr="00B129A2">
              <w:rPr>
                <w:sz w:val="16"/>
                <w:lang w:val="en-US"/>
              </w:rPr>
              <w:t>The cash bonus is paid out based on achievements, applying the above criteria and framework.</w:t>
            </w:r>
          </w:p>
        </w:tc>
      </w:tr>
      <w:tr w:rsidR="002F537E" w:rsidRPr="00937FAC" w14:paraId="52281E46" w14:textId="77777777" w:rsidTr="00846CDA">
        <w:trPr>
          <w:trHeight w:val="815"/>
        </w:trPr>
        <w:tc>
          <w:tcPr>
            <w:tcW w:w="4962" w:type="dxa"/>
          </w:tcPr>
          <w:p w14:paraId="66B02943" w14:textId="4DAD8AEA" w:rsidR="002F537E" w:rsidRPr="00A2176F" w:rsidRDefault="002F537E" w:rsidP="00C825D6">
            <w:pPr>
              <w:pStyle w:val="BodyText2"/>
              <w:numPr>
                <w:ilvl w:val="0"/>
                <w:numId w:val="26"/>
              </w:numPr>
              <w:spacing w:before="60"/>
              <w:ind w:left="425" w:hanging="425"/>
              <w:rPr>
                <w:sz w:val="16"/>
              </w:rPr>
            </w:pPr>
            <w:r w:rsidRPr="00303393">
              <w:rPr>
                <w:sz w:val="16"/>
              </w:rPr>
              <w:t>Der Umfang der Zuteilungen von Beteiligungsrechten (aktienbasierten Awards) mit langfristiger Anreizwirkung (</w:t>
            </w:r>
            <w:proofErr w:type="spellStart"/>
            <w:r w:rsidRPr="00303393">
              <w:rPr>
                <w:sz w:val="16"/>
              </w:rPr>
              <w:t>long</w:t>
            </w:r>
            <w:proofErr w:type="spellEnd"/>
            <w:r w:rsidRPr="00303393">
              <w:rPr>
                <w:sz w:val="16"/>
              </w:rPr>
              <w:t xml:space="preserve">-term </w:t>
            </w:r>
            <w:proofErr w:type="spellStart"/>
            <w:r w:rsidRPr="00303393">
              <w:rPr>
                <w:sz w:val="16"/>
              </w:rPr>
              <w:t>incentive</w:t>
            </w:r>
            <w:proofErr w:type="spellEnd"/>
            <w:r w:rsidRPr="00303393">
              <w:rPr>
                <w:sz w:val="16"/>
              </w:rPr>
              <w:t>) wird durch den Verwaltungsrat oder den Vergütungsausschuss festgelegt</w:t>
            </w:r>
            <w:r>
              <w:rPr>
                <w:sz w:val="16"/>
              </w:rPr>
              <w:t xml:space="preserve"> und kann aus Anwartschaften auf Aktien</w:t>
            </w:r>
            <w:r w:rsidRPr="009D656C">
              <w:rPr>
                <w:sz w:val="16"/>
              </w:rPr>
              <w:t>, Aktien mit Veräusserungssperre, Performance­, Ak</w:t>
            </w:r>
            <w:r>
              <w:rPr>
                <w:sz w:val="16"/>
              </w:rPr>
              <w:t>tien und sonstigen Beteiligungs</w:t>
            </w:r>
            <w:r w:rsidRPr="009D656C">
              <w:rPr>
                <w:sz w:val="16"/>
              </w:rPr>
              <w:t>instrumenten</w:t>
            </w:r>
            <w:r>
              <w:rPr>
                <w:sz w:val="16"/>
              </w:rPr>
              <w:t xml:space="preserve"> bestehen</w:t>
            </w:r>
            <w:r w:rsidRPr="00303393">
              <w:rPr>
                <w:sz w:val="16"/>
              </w:rPr>
              <w:t>.</w:t>
            </w:r>
          </w:p>
        </w:tc>
        <w:tc>
          <w:tcPr>
            <w:tcW w:w="596" w:type="dxa"/>
            <w:vMerge/>
          </w:tcPr>
          <w:p w14:paraId="0F2BECA0" w14:textId="77777777" w:rsidR="002F537E" w:rsidRPr="007537E4" w:rsidRDefault="002F537E" w:rsidP="002F537E">
            <w:pPr>
              <w:pStyle w:val="BodyText2"/>
              <w:ind w:left="425" w:hanging="425"/>
              <w:rPr>
                <w:sz w:val="16"/>
              </w:rPr>
            </w:pPr>
          </w:p>
        </w:tc>
        <w:tc>
          <w:tcPr>
            <w:tcW w:w="5074" w:type="dxa"/>
          </w:tcPr>
          <w:p w14:paraId="23215E37" w14:textId="0CA1B732" w:rsidR="002F537E" w:rsidRPr="00B129A2" w:rsidRDefault="002F537E" w:rsidP="00C825D6">
            <w:pPr>
              <w:pStyle w:val="BodyText2"/>
              <w:numPr>
                <w:ilvl w:val="0"/>
                <w:numId w:val="48"/>
              </w:numPr>
              <w:spacing w:before="60"/>
              <w:ind w:left="425" w:hanging="425"/>
              <w:rPr>
                <w:sz w:val="16"/>
                <w:lang w:val="en-US"/>
              </w:rPr>
            </w:pPr>
            <w:r w:rsidRPr="00B129A2">
              <w:rPr>
                <w:sz w:val="16"/>
                <w:lang w:val="en-US"/>
              </w:rPr>
              <w:t>The amount of long-term incentive equity awards granted shall be determined by the Board of Directors or the Compensation Committee and may consist of entitlements to receive shares, restricted stock, performance shares or any other equity instruments</w:t>
            </w:r>
            <w:r>
              <w:rPr>
                <w:sz w:val="16"/>
                <w:lang w:val="en-US"/>
              </w:rPr>
              <w:t>.</w:t>
            </w:r>
          </w:p>
        </w:tc>
      </w:tr>
      <w:tr w:rsidR="002F537E" w:rsidRPr="00937FAC" w14:paraId="50CC16DF" w14:textId="77777777" w:rsidTr="00846CDA">
        <w:trPr>
          <w:trHeight w:val="815"/>
        </w:trPr>
        <w:tc>
          <w:tcPr>
            <w:tcW w:w="4962" w:type="dxa"/>
          </w:tcPr>
          <w:p w14:paraId="681E4968" w14:textId="0996A578" w:rsidR="002F537E" w:rsidRPr="00A2176F" w:rsidRDefault="002F537E" w:rsidP="00C825D6">
            <w:pPr>
              <w:pStyle w:val="BodyText2"/>
              <w:numPr>
                <w:ilvl w:val="0"/>
                <w:numId w:val="26"/>
              </w:numPr>
              <w:spacing w:before="60"/>
              <w:ind w:left="425" w:hanging="425"/>
              <w:rPr>
                <w:sz w:val="16"/>
              </w:rPr>
            </w:pPr>
            <w:r w:rsidRPr="00303393">
              <w:rPr>
                <w:sz w:val="16"/>
              </w:rPr>
              <w:t>Der Verwaltungsrat oder der Vergütungsausschuss ist dafür verantwortlich, für jedes Mitglied der Geschäftsleitung das proportionale Verhältnis der jährlichen Grundvergütung und der Komponenten der variablen Vergütung zu bestimmen. In Übereinstimmung mit, und unter Vorbehalt von, Art. 2</w:t>
            </w:r>
            <w:r>
              <w:rPr>
                <w:sz w:val="16"/>
              </w:rPr>
              <w:t>7</w:t>
            </w:r>
            <w:r w:rsidRPr="00303393">
              <w:rPr>
                <w:sz w:val="16"/>
              </w:rPr>
              <w:t xml:space="preserve"> der Statuten darf die gesamte Vergütung (einschließlich der festen und variablen Vergütung), welche allen Mitgliedern der Geschäftsleitung in Bezug auf ein Kalenderjahr ausgerichtet wird, in keinem Fall den Gesamtbetrag übersteigen, welcher vorgängig durch die Generalversammlung für die Vergütung der Geschäftsleitung für dieses Kalenderjahr genehmigt wurde.</w:t>
            </w:r>
          </w:p>
        </w:tc>
        <w:tc>
          <w:tcPr>
            <w:tcW w:w="596" w:type="dxa"/>
            <w:vMerge/>
          </w:tcPr>
          <w:p w14:paraId="6CF2FCC9" w14:textId="77777777" w:rsidR="002F537E" w:rsidRPr="007537E4" w:rsidRDefault="002F537E" w:rsidP="002F537E">
            <w:pPr>
              <w:pStyle w:val="BodyText2"/>
              <w:ind w:left="425" w:hanging="425"/>
              <w:rPr>
                <w:sz w:val="16"/>
              </w:rPr>
            </w:pPr>
          </w:p>
        </w:tc>
        <w:tc>
          <w:tcPr>
            <w:tcW w:w="5074" w:type="dxa"/>
          </w:tcPr>
          <w:p w14:paraId="40D89B56" w14:textId="7BDF90A9" w:rsidR="002F537E" w:rsidRPr="00B129A2" w:rsidRDefault="002F537E" w:rsidP="00C825D6">
            <w:pPr>
              <w:pStyle w:val="BodyText2"/>
              <w:numPr>
                <w:ilvl w:val="0"/>
                <w:numId w:val="48"/>
              </w:numPr>
              <w:spacing w:before="60"/>
              <w:ind w:left="425" w:hanging="425"/>
              <w:rPr>
                <w:sz w:val="16"/>
                <w:lang w:val="en-US"/>
              </w:rPr>
            </w:pPr>
            <w:r w:rsidRPr="00B129A2">
              <w:rPr>
                <w:sz w:val="16"/>
                <w:lang w:val="en-US"/>
              </w:rPr>
              <w:t>The Board of Directors or the Compensation Committee shall be responsible for determining for each member of Group Executive Board the proportional balance of base annual salary and the components of variable compensation. In accordance with, and subject to, Art</w:t>
            </w:r>
            <w:r>
              <w:rPr>
                <w:sz w:val="16"/>
                <w:lang w:val="en-US"/>
              </w:rPr>
              <w:t xml:space="preserve">. </w:t>
            </w:r>
            <w:r w:rsidRPr="00B129A2">
              <w:rPr>
                <w:sz w:val="16"/>
                <w:lang w:val="en-US"/>
              </w:rPr>
              <w:t xml:space="preserve">27 </w:t>
            </w:r>
            <w:r>
              <w:rPr>
                <w:sz w:val="16"/>
                <w:lang w:val="en-US"/>
              </w:rPr>
              <w:t>of the</w:t>
            </w:r>
            <w:r w:rsidRPr="00B129A2">
              <w:rPr>
                <w:sz w:val="16"/>
                <w:lang w:val="en-US"/>
              </w:rPr>
              <w:t xml:space="preserve"> Articles of Association, in no event shall the aggregate compensation (including fixed and variable compensation) paid with respect to any calendar year to all members of Group Executive Board exceed the total aggregate amount previously approved by the General Meeting for the compensation of the Group Executive Board for such calendar year</w:t>
            </w:r>
            <w:r>
              <w:rPr>
                <w:sz w:val="16"/>
                <w:lang w:val="en-US"/>
              </w:rPr>
              <w:t>.</w:t>
            </w:r>
          </w:p>
        </w:tc>
      </w:tr>
      <w:tr w:rsidR="002F537E" w:rsidRPr="00937FAC" w14:paraId="6F5FC3FA" w14:textId="77777777" w:rsidTr="00846CDA">
        <w:trPr>
          <w:trHeight w:val="815"/>
        </w:trPr>
        <w:tc>
          <w:tcPr>
            <w:tcW w:w="4962" w:type="dxa"/>
          </w:tcPr>
          <w:p w14:paraId="409640AE" w14:textId="7F148E35" w:rsidR="002F537E" w:rsidRPr="00A2176F" w:rsidRDefault="002F537E" w:rsidP="00C825D6">
            <w:pPr>
              <w:pStyle w:val="BodyText2"/>
              <w:numPr>
                <w:ilvl w:val="0"/>
                <w:numId w:val="26"/>
              </w:numPr>
              <w:spacing w:before="60"/>
              <w:ind w:left="425" w:hanging="425"/>
              <w:rPr>
                <w:sz w:val="16"/>
              </w:rPr>
            </w:pPr>
            <w:r w:rsidRPr="004965A4">
              <w:rPr>
                <w:sz w:val="16"/>
              </w:rPr>
              <w:t>Im Rahmen dieses Abschnitts 4 umfasst der Begriff "Geschäftsleitung" auch jedes Mitglied des Verwaltungsrats, welches gleichzeitig ein Mitglied der Geschäftsleitung ist (Delegierte des Verwaltungsrats)</w:t>
            </w:r>
            <w:r>
              <w:rPr>
                <w:sz w:val="16"/>
              </w:rPr>
              <w:t>.</w:t>
            </w:r>
          </w:p>
        </w:tc>
        <w:tc>
          <w:tcPr>
            <w:tcW w:w="596" w:type="dxa"/>
            <w:vMerge/>
          </w:tcPr>
          <w:p w14:paraId="5F3C1A9E" w14:textId="77777777" w:rsidR="002F537E" w:rsidRPr="007537E4" w:rsidRDefault="002F537E" w:rsidP="002F537E">
            <w:pPr>
              <w:pStyle w:val="BodyText2"/>
              <w:ind w:left="425" w:hanging="425"/>
              <w:rPr>
                <w:sz w:val="16"/>
              </w:rPr>
            </w:pPr>
          </w:p>
        </w:tc>
        <w:tc>
          <w:tcPr>
            <w:tcW w:w="5074" w:type="dxa"/>
          </w:tcPr>
          <w:p w14:paraId="1FD5FD36" w14:textId="5DC9D963" w:rsidR="002F537E" w:rsidRPr="002275B8" w:rsidRDefault="002F537E" w:rsidP="00C825D6">
            <w:pPr>
              <w:pStyle w:val="BodyText2"/>
              <w:numPr>
                <w:ilvl w:val="0"/>
                <w:numId w:val="48"/>
              </w:numPr>
              <w:spacing w:before="60"/>
              <w:ind w:left="425" w:hanging="425"/>
              <w:rPr>
                <w:sz w:val="16"/>
                <w:lang w:val="en-US"/>
              </w:rPr>
            </w:pPr>
            <w:r w:rsidRPr="00B129A2">
              <w:rPr>
                <w:sz w:val="16"/>
                <w:lang w:val="en-US"/>
              </w:rPr>
              <w:t>Within this section 4, the term "Group Executive Board" shall also encompass any member of the board of directors who is a member of the Group Executive Board at the same time (Managing Director).</w:t>
            </w:r>
          </w:p>
        </w:tc>
      </w:tr>
      <w:tr w:rsidR="002F537E" w:rsidRPr="00937FAC" w14:paraId="3530E90A" w14:textId="77777777" w:rsidTr="00846CDA">
        <w:tc>
          <w:tcPr>
            <w:tcW w:w="4962" w:type="dxa"/>
          </w:tcPr>
          <w:p w14:paraId="6BF81D6D" w14:textId="77777777" w:rsidR="002F537E" w:rsidRDefault="002F537E" w:rsidP="002F537E">
            <w:pPr>
              <w:pStyle w:val="BodyText2"/>
              <w:ind w:left="340"/>
              <w:jc w:val="center"/>
              <w:rPr>
                <w:b/>
                <w:bCs/>
                <w:sz w:val="16"/>
                <w:lang w:val="en-US"/>
              </w:rPr>
            </w:pPr>
          </w:p>
          <w:p w14:paraId="32751128" w14:textId="255293AD" w:rsidR="002F537E" w:rsidRPr="00C45063" w:rsidRDefault="002F537E" w:rsidP="002F537E">
            <w:pPr>
              <w:pStyle w:val="BodyText2"/>
              <w:ind w:left="340"/>
              <w:jc w:val="center"/>
              <w:rPr>
                <w:b/>
                <w:bCs/>
                <w:sz w:val="16"/>
                <w:lang w:val="en-US"/>
              </w:rPr>
            </w:pPr>
            <w:r w:rsidRPr="00C45063">
              <w:rPr>
                <w:b/>
                <w:bCs/>
                <w:sz w:val="16"/>
                <w:lang w:val="en-US"/>
              </w:rPr>
              <w:t>Art. 26</w:t>
            </w:r>
          </w:p>
          <w:p w14:paraId="620B99DC" w14:textId="77777777" w:rsidR="002F537E" w:rsidRDefault="002F537E" w:rsidP="002F537E">
            <w:pPr>
              <w:pStyle w:val="BodyText2"/>
              <w:ind w:left="340"/>
              <w:jc w:val="center"/>
              <w:rPr>
                <w:b/>
                <w:bCs/>
                <w:sz w:val="16"/>
                <w:lang w:val="en-US"/>
              </w:rPr>
            </w:pPr>
            <w:r w:rsidRPr="00C45063">
              <w:rPr>
                <w:b/>
                <w:bCs/>
                <w:sz w:val="16"/>
                <w:lang w:val="en-US"/>
              </w:rPr>
              <w:t xml:space="preserve">Allgemeine </w:t>
            </w:r>
            <w:proofErr w:type="spellStart"/>
            <w:r w:rsidRPr="00C45063">
              <w:rPr>
                <w:b/>
                <w:bCs/>
                <w:sz w:val="16"/>
                <w:lang w:val="en-US"/>
              </w:rPr>
              <w:t>Vergütungsgrundsätze</w:t>
            </w:r>
            <w:proofErr w:type="spellEnd"/>
          </w:p>
          <w:p w14:paraId="501FF316" w14:textId="288DC6AD" w:rsidR="002F537E" w:rsidRPr="00C45063" w:rsidRDefault="002F537E" w:rsidP="002F537E">
            <w:pPr>
              <w:pStyle w:val="BodyText2"/>
              <w:ind w:left="340"/>
              <w:jc w:val="center"/>
              <w:rPr>
                <w:sz w:val="16"/>
                <w:lang w:val="en-US"/>
              </w:rPr>
            </w:pPr>
          </w:p>
        </w:tc>
        <w:tc>
          <w:tcPr>
            <w:tcW w:w="596" w:type="dxa"/>
          </w:tcPr>
          <w:p w14:paraId="74BD7EBC" w14:textId="77777777" w:rsidR="002F537E" w:rsidRPr="006D7CEF" w:rsidRDefault="002F537E" w:rsidP="002F537E">
            <w:pPr>
              <w:pStyle w:val="BodyText2"/>
              <w:ind w:left="340"/>
              <w:jc w:val="center"/>
              <w:rPr>
                <w:sz w:val="16"/>
                <w:lang w:val="en-US"/>
              </w:rPr>
            </w:pPr>
          </w:p>
        </w:tc>
        <w:tc>
          <w:tcPr>
            <w:tcW w:w="5074" w:type="dxa"/>
          </w:tcPr>
          <w:p w14:paraId="7E434633" w14:textId="77777777" w:rsidR="002F537E" w:rsidRDefault="002F537E" w:rsidP="002F537E">
            <w:pPr>
              <w:pStyle w:val="BodyText2"/>
              <w:ind w:left="340"/>
              <w:jc w:val="center"/>
              <w:rPr>
                <w:b/>
                <w:bCs/>
                <w:sz w:val="16"/>
                <w:lang w:val="en-US"/>
              </w:rPr>
            </w:pPr>
          </w:p>
          <w:p w14:paraId="27901D0F" w14:textId="721A83E8" w:rsidR="002F537E" w:rsidRPr="00C45063" w:rsidRDefault="002F537E" w:rsidP="002F537E">
            <w:pPr>
              <w:pStyle w:val="BodyText2"/>
              <w:ind w:left="340"/>
              <w:jc w:val="center"/>
              <w:rPr>
                <w:b/>
                <w:bCs/>
                <w:sz w:val="16"/>
                <w:lang w:val="en-US"/>
              </w:rPr>
            </w:pPr>
            <w:r w:rsidRPr="00C45063">
              <w:rPr>
                <w:b/>
                <w:bCs/>
                <w:sz w:val="16"/>
                <w:lang w:val="en-US"/>
              </w:rPr>
              <w:t>Art. 26</w:t>
            </w:r>
          </w:p>
          <w:p w14:paraId="5EB78417" w14:textId="77777777" w:rsidR="002F537E" w:rsidRPr="00C45063" w:rsidRDefault="002F537E" w:rsidP="002F537E">
            <w:pPr>
              <w:pStyle w:val="BodyText2"/>
              <w:ind w:left="340"/>
              <w:jc w:val="center"/>
              <w:rPr>
                <w:b/>
                <w:bCs/>
                <w:sz w:val="16"/>
                <w:lang w:val="en-US"/>
              </w:rPr>
            </w:pPr>
            <w:r w:rsidRPr="00C45063">
              <w:rPr>
                <w:b/>
                <w:bCs/>
                <w:sz w:val="16"/>
                <w:lang w:val="en-US"/>
              </w:rPr>
              <w:t>General principles of compensation</w:t>
            </w:r>
          </w:p>
          <w:p w14:paraId="415356AC" w14:textId="77777777" w:rsidR="002F537E" w:rsidRPr="00834730" w:rsidRDefault="002F537E" w:rsidP="002F537E">
            <w:pPr>
              <w:pStyle w:val="BodyText2"/>
              <w:ind w:left="340"/>
              <w:jc w:val="center"/>
              <w:rPr>
                <w:sz w:val="16"/>
                <w:lang w:val="en-US"/>
              </w:rPr>
            </w:pPr>
          </w:p>
        </w:tc>
      </w:tr>
      <w:tr w:rsidR="002F537E" w:rsidRPr="008E382F" w14:paraId="5A43CC72" w14:textId="77777777" w:rsidTr="00846CDA">
        <w:trPr>
          <w:trHeight w:val="1257"/>
        </w:trPr>
        <w:tc>
          <w:tcPr>
            <w:tcW w:w="4962" w:type="dxa"/>
          </w:tcPr>
          <w:p w14:paraId="2DCF9F38" w14:textId="33ECE9BF" w:rsidR="002F537E" w:rsidRPr="002D0641" w:rsidRDefault="002F537E" w:rsidP="00C825D6">
            <w:pPr>
              <w:pStyle w:val="BodyText2"/>
              <w:numPr>
                <w:ilvl w:val="0"/>
                <w:numId w:val="25"/>
              </w:numPr>
              <w:spacing w:before="60"/>
              <w:ind w:left="425" w:hanging="425"/>
              <w:rPr>
                <w:sz w:val="16"/>
              </w:rPr>
            </w:pPr>
            <w:r w:rsidRPr="00A2176F">
              <w:rPr>
                <w:sz w:val="16"/>
              </w:rPr>
              <w:t xml:space="preserve">Rechtseinheiten, die durch die Gesellschaft direkt oder indirekt kontrolliert werden, dürfen Vergütungen an die Mitglieder des Verwaltungsrates oder der Geschäftsleitung für deren Dienste ausrichten, sofern solche </w:t>
            </w:r>
            <w:r>
              <w:rPr>
                <w:sz w:val="16"/>
              </w:rPr>
              <w:t>Vergütun</w:t>
            </w:r>
            <w:r w:rsidRPr="00A2176F">
              <w:rPr>
                <w:sz w:val="16"/>
              </w:rPr>
              <w:t xml:space="preserve">gen durch einen genehmigten Gesamtbetrag oder einen Zusatzbetrag nach Art. </w:t>
            </w:r>
            <w:r>
              <w:rPr>
                <w:sz w:val="16"/>
              </w:rPr>
              <w:t xml:space="preserve">27 </w:t>
            </w:r>
            <w:r w:rsidRPr="00A2176F">
              <w:rPr>
                <w:sz w:val="16"/>
              </w:rPr>
              <w:t>gedeckt sind.</w:t>
            </w:r>
          </w:p>
        </w:tc>
        <w:tc>
          <w:tcPr>
            <w:tcW w:w="596" w:type="dxa"/>
            <w:vMerge w:val="restart"/>
          </w:tcPr>
          <w:p w14:paraId="111BFBCB" w14:textId="77777777" w:rsidR="002F537E" w:rsidRPr="006B57F0" w:rsidRDefault="002F537E" w:rsidP="002F537E">
            <w:pPr>
              <w:pStyle w:val="BodyText2"/>
              <w:spacing w:before="60"/>
              <w:ind w:left="425" w:hanging="425"/>
              <w:rPr>
                <w:sz w:val="16"/>
              </w:rPr>
            </w:pPr>
          </w:p>
        </w:tc>
        <w:tc>
          <w:tcPr>
            <w:tcW w:w="5074" w:type="dxa"/>
          </w:tcPr>
          <w:p w14:paraId="6E51FC2A" w14:textId="22D02053" w:rsidR="002F537E" w:rsidRPr="006E45FF" w:rsidRDefault="002F537E" w:rsidP="00C825D6">
            <w:pPr>
              <w:pStyle w:val="BodyText2"/>
              <w:numPr>
                <w:ilvl w:val="0"/>
                <w:numId w:val="49"/>
              </w:numPr>
              <w:spacing w:before="60"/>
              <w:ind w:left="425" w:hanging="425"/>
              <w:rPr>
                <w:sz w:val="16"/>
                <w:lang w:val="en-US"/>
              </w:rPr>
            </w:pPr>
            <w:r w:rsidRPr="00D869F3">
              <w:rPr>
                <w:sz w:val="16"/>
                <w:lang w:val="en-US"/>
              </w:rPr>
              <w:t>Legal entities which are directly or indirectly controlled by the Company may pay compensation to members of the Board of Directors or of the Group Executive Board for their services, provided that such compensation is covered by an approved aggregate amount or an additional amount pursuant to Article 27.</w:t>
            </w:r>
          </w:p>
        </w:tc>
      </w:tr>
      <w:tr w:rsidR="002F537E" w:rsidRPr="008E382F" w14:paraId="3A97D5D1" w14:textId="77777777" w:rsidTr="00846CDA">
        <w:trPr>
          <w:trHeight w:val="292"/>
        </w:trPr>
        <w:tc>
          <w:tcPr>
            <w:tcW w:w="4962" w:type="dxa"/>
          </w:tcPr>
          <w:p w14:paraId="1A84FED4" w14:textId="1086AF5B" w:rsidR="002F537E" w:rsidRPr="003D5E3D" w:rsidRDefault="002F537E" w:rsidP="00C825D6">
            <w:pPr>
              <w:pStyle w:val="BodyText2"/>
              <w:numPr>
                <w:ilvl w:val="0"/>
                <w:numId w:val="25"/>
              </w:numPr>
              <w:spacing w:before="60"/>
              <w:ind w:left="425" w:hanging="425"/>
              <w:rPr>
                <w:sz w:val="16"/>
              </w:rPr>
            </w:pPr>
            <w:r w:rsidRPr="00A2176F">
              <w:rPr>
                <w:sz w:val="16"/>
              </w:rPr>
              <w:t xml:space="preserve">Insbesondere die folgenden Leistungen gelten nicht als Vergütungen, </w:t>
            </w:r>
            <w:r>
              <w:rPr>
                <w:sz w:val="16"/>
              </w:rPr>
              <w:t>Dar</w:t>
            </w:r>
            <w:r w:rsidRPr="00A2176F">
              <w:rPr>
                <w:sz w:val="16"/>
              </w:rPr>
              <w:t xml:space="preserve">lehen oder Kredite und werden nicht zu den Beträgen hinzugezählt, die gemäss Art. </w:t>
            </w:r>
            <w:r>
              <w:rPr>
                <w:sz w:val="16"/>
              </w:rPr>
              <w:t>27</w:t>
            </w:r>
            <w:r w:rsidRPr="00C77C9C">
              <w:rPr>
                <w:sz w:val="16"/>
              </w:rPr>
              <w:t xml:space="preserve"> der Genehmigung durch die Generalversammlung unterliegen</w:t>
            </w:r>
            <w:r w:rsidRPr="00A2176F">
              <w:rPr>
                <w:sz w:val="16"/>
              </w:rPr>
              <w:t>:</w:t>
            </w:r>
          </w:p>
        </w:tc>
        <w:tc>
          <w:tcPr>
            <w:tcW w:w="596" w:type="dxa"/>
            <w:vMerge/>
          </w:tcPr>
          <w:p w14:paraId="7B30DCAF" w14:textId="77777777" w:rsidR="002F537E" w:rsidRPr="006B57F0" w:rsidRDefault="002F537E" w:rsidP="002F537E">
            <w:pPr>
              <w:pStyle w:val="BodyText2"/>
              <w:spacing w:before="60"/>
              <w:ind w:left="425" w:hanging="425"/>
              <w:rPr>
                <w:sz w:val="16"/>
              </w:rPr>
            </w:pPr>
          </w:p>
        </w:tc>
        <w:tc>
          <w:tcPr>
            <w:tcW w:w="5074" w:type="dxa"/>
          </w:tcPr>
          <w:p w14:paraId="1C8F2554" w14:textId="2574E51F" w:rsidR="002F537E" w:rsidRPr="00A15F62" w:rsidRDefault="002F537E" w:rsidP="00C825D6">
            <w:pPr>
              <w:pStyle w:val="BodyText2"/>
              <w:numPr>
                <w:ilvl w:val="0"/>
                <w:numId w:val="49"/>
              </w:numPr>
              <w:spacing w:before="60"/>
              <w:ind w:left="425" w:hanging="425"/>
              <w:rPr>
                <w:sz w:val="16"/>
                <w:lang w:val="en-US"/>
              </w:rPr>
            </w:pPr>
            <w:proofErr w:type="gramStart"/>
            <w:r w:rsidRPr="00D869F3">
              <w:rPr>
                <w:sz w:val="16"/>
                <w:lang w:val="en-US"/>
              </w:rPr>
              <w:t>In particular the</w:t>
            </w:r>
            <w:proofErr w:type="gramEnd"/>
            <w:r w:rsidRPr="00D869F3">
              <w:rPr>
                <w:sz w:val="16"/>
                <w:lang w:val="en-US"/>
              </w:rPr>
              <w:t xml:space="preserve"> following items are not deemed compensation, loans or credits and shall not be added to the amounts subject to approval according to Article 27: </w:t>
            </w:r>
          </w:p>
        </w:tc>
      </w:tr>
      <w:tr w:rsidR="002F537E" w:rsidRPr="008E382F" w14:paraId="0CDB2BE6" w14:textId="77777777" w:rsidTr="00846CDA">
        <w:trPr>
          <w:trHeight w:val="292"/>
        </w:trPr>
        <w:tc>
          <w:tcPr>
            <w:tcW w:w="4962" w:type="dxa"/>
          </w:tcPr>
          <w:p w14:paraId="2BEEA910" w14:textId="03E11D13" w:rsidR="002F537E" w:rsidRPr="000B6E64" w:rsidRDefault="002F537E" w:rsidP="00C825D6">
            <w:pPr>
              <w:pStyle w:val="BodyText2"/>
              <w:numPr>
                <w:ilvl w:val="1"/>
                <w:numId w:val="25"/>
              </w:numPr>
              <w:spacing w:before="60"/>
              <w:ind w:left="913" w:hanging="357"/>
              <w:rPr>
                <w:sz w:val="16"/>
              </w:rPr>
            </w:pPr>
            <w:r>
              <w:rPr>
                <w:sz w:val="16"/>
              </w:rPr>
              <w:t xml:space="preserve">Auslagenersatz und </w:t>
            </w:r>
            <w:r w:rsidRPr="00A2176F">
              <w:rPr>
                <w:sz w:val="16"/>
              </w:rPr>
              <w:t>steuerlich abzugsfähige</w:t>
            </w:r>
            <w:r>
              <w:rPr>
                <w:sz w:val="16"/>
              </w:rPr>
              <w:t xml:space="preserve"> </w:t>
            </w:r>
            <w:r w:rsidRPr="00A2176F">
              <w:rPr>
                <w:sz w:val="16"/>
              </w:rPr>
              <w:t>Spesenpauschalen;</w:t>
            </w:r>
          </w:p>
        </w:tc>
        <w:tc>
          <w:tcPr>
            <w:tcW w:w="596" w:type="dxa"/>
            <w:vMerge/>
          </w:tcPr>
          <w:p w14:paraId="7DD89D3B" w14:textId="77777777" w:rsidR="002F537E" w:rsidRPr="006B57F0" w:rsidRDefault="002F537E" w:rsidP="002F537E">
            <w:pPr>
              <w:pStyle w:val="BodyText2"/>
              <w:spacing w:before="60"/>
              <w:ind w:left="913" w:hanging="357"/>
              <w:rPr>
                <w:sz w:val="16"/>
              </w:rPr>
            </w:pPr>
          </w:p>
        </w:tc>
        <w:tc>
          <w:tcPr>
            <w:tcW w:w="5074" w:type="dxa"/>
          </w:tcPr>
          <w:p w14:paraId="7A14D924" w14:textId="4EFD4A09" w:rsidR="002F537E" w:rsidRPr="005C7E7A" w:rsidRDefault="002F537E" w:rsidP="00C825D6">
            <w:pPr>
              <w:pStyle w:val="BodyText2"/>
              <w:numPr>
                <w:ilvl w:val="0"/>
                <w:numId w:val="64"/>
              </w:numPr>
              <w:spacing w:before="60"/>
              <w:ind w:left="913" w:hanging="357"/>
              <w:rPr>
                <w:sz w:val="16"/>
                <w:lang w:val="en-US"/>
              </w:rPr>
            </w:pPr>
            <w:r w:rsidRPr="00B129A2">
              <w:rPr>
                <w:sz w:val="16"/>
                <w:lang w:val="en-US"/>
              </w:rPr>
              <w:t>Reimbursement of expenses and tax-deductible lump­</w:t>
            </w:r>
            <w:r w:rsidR="00B73AF0">
              <w:rPr>
                <w:sz w:val="16"/>
                <w:lang w:val="en-US"/>
              </w:rPr>
              <w:t xml:space="preserve"> </w:t>
            </w:r>
            <w:r w:rsidRPr="00B129A2">
              <w:rPr>
                <w:sz w:val="16"/>
                <w:lang w:val="en-US"/>
              </w:rPr>
              <w:t>sum expenses;</w:t>
            </w:r>
          </w:p>
        </w:tc>
      </w:tr>
      <w:tr w:rsidR="002F537E" w:rsidRPr="008E382F" w14:paraId="0B6CA4EA" w14:textId="77777777" w:rsidTr="00846CDA">
        <w:trPr>
          <w:trHeight w:val="292"/>
        </w:trPr>
        <w:tc>
          <w:tcPr>
            <w:tcW w:w="4962" w:type="dxa"/>
          </w:tcPr>
          <w:p w14:paraId="4F2FC6BC" w14:textId="2BFBBE24" w:rsidR="002F537E" w:rsidRPr="000B6E64" w:rsidRDefault="002F537E" w:rsidP="00C825D6">
            <w:pPr>
              <w:pStyle w:val="BodyText2"/>
              <w:numPr>
                <w:ilvl w:val="1"/>
                <w:numId w:val="25"/>
              </w:numPr>
              <w:spacing w:before="60"/>
              <w:ind w:left="913" w:hanging="357"/>
              <w:rPr>
                <w:sz w:val="16"/>
              </w:rPr>
            </w:pPr>
            <w:r w:rsidRPr="00A2176F">
              <w:rPr>
                <w:sz w:val="16"/>
              </w:rPr>
              <w:t xml:space="preserve">Prämien für Versicherungen, die nach Beurteilung des </w:t>
            </w:r>
            <w:r>
              <w:rPr>
                <w:sz w:val="16"/>
              </w:rPr>
              <w:t>Vergütungs</w:t>
            </w:r>
            <w:r w:rsidRPr="00A2176F">
              <w:rPr>
                <w:sz w:val="16"/>
              </w:rPr>
              <w:t>ausschusses im Interesse der Gesellschaft liegen;</w:t>
            </w:r>
          </w:p>
        </w:tc>
        <w:tc>
          <w:tcPr>
            <w:tcW w:w="596" w:type="dxa"/>
            <w:vMerge/>
          </w:tcPr>
          <w:p w14:paraId="76E7EC44" w14:textId="77777777" w:rsidR="002F537E" w:rsidRPr="006B57F0" w:rsidRDefault="002F537E" w:rsidP="002F537E">
            <w:pPr>
              <w:pStyle w:val="BodyText2"/>
              <w:spacing w:before="60"/>
              <w:ind w:left="913" w:hanging="357"/>
              <w:rPr>
                <w:sz w:val="16"/>
              </w:rPr>
            </w:pPr>
          </w:p>
        </w:tc>
        <w:tc>
          <w:tcPr>
            <w:tcW w:w="5074" w:type="dxa"/>
          </w:tcPr>
          <w:p w14:paraId="3A5FE1F7" w14:textId="235C55B1" w:rsidR="002F537E" w:rsidRPr="005C7E7A" w:rsidRDefault="002F537E" w:rsidP="00C825D6">
            <w:pPr>
              <w:pStyle w:val="BodyText2"/>
              <w:numPr>
                <w:ilvl w:val="0"/>
                <w:numId w:val="64"/>
              </w:numPr>
              <w:spacing w:before="60"/>
              <w:ind w:left="913" w:hanging="357"/>
              <w:rPr>
                <w:sz w:val="16"/>
                <w:lang w:val="en-US"/>
              </w:rPr>
            </w:pPr>
            <w:r w:rsidRPr="00B129A2">
              <w:rPr>
                <w:sz w:val="16"/>
                <w:lang w:val="en-US"/>
              </w:rPr>
              <w:t>premiums for insurance which are in the view of the Compensation Committee entered into in the interest of the Company;</w:t>
            </w:r>
          </w:p>
        </w:tc>
      </w:tr>
      <w:tr w:rsidR="002F537E" w:rsidRPr="008E382F" w14:paraId="042356D2" w14:textId="77777777" w:rsidTr="00846CDA">
        <w:trPr>
          <w:trHeight w:val="292"/>
        </w:trPr>
        <w:tc>
          <w:tcPr>
            <w:tcW w:w="4962" w:type="dxa"/>
          </w:tcPr>
          <w:p w14:paraId="61FF52DD" w14:textId="4F6E5701" w:rsidR="002F537E" w:rsidRPr="000B6E64" w:rsidRDefault="002F537E" w:rsidP="00C825D6">
            <w:pPr>
              <w:pStyle w:val="BodyText2"/>
              <w:numPr>
                <w:ilvl w:val="1"/>
                <w:numId w:val="25"/>
              </w:numPr>
              <w:spacing w:before="60"/>
              <w:ind w:left="913" w:hanging="357"/>
              <w:rPr>
                <w:sz w:val="16"/>
              </w:rPr>
            </w:pPr>
            <w:r>
              <w:rPr>
                <w:sz w:val="16"/>
              </w:rPr>
              <w:t>Geringfügige Sachleistungen, allgemeine Mitarbeitervergünstigun</w:t>
            </w:r>
            <w:r w:rsidRPr="00A2176F">
              <w:rPr>
                <w:sz w:val="16"/>
              </w:rPr>
              <w:t>gen und andere ähnliche Fringe Benefits;</w:t>
            </w:r>
            <w:r>
              <w:rPr>
                <w:sz w:val="16"/>
              </w:rPr>
              <w:t xml:space="preserve"> und</w:t>
            </w:r>
          </w:p>
        </w:tc>
        <w:tc>
          <w:tcPr>
            <w:tcW w:w="596" w:type="dxa"/>
            <w:vMerge/>
          </w:tcPr>
          <w:p w14:paraId="1B1AC86C" w14:textId="77777777" w:rsidR="002F537E" w:rsidRPr="006B57F0" w:rsidRDefault="002F537E" w:rsidP="002F537E">
            <w:pPr>
              <w:pStyle w:val="BodyText2"/>
              <w:spacing w:before="60"/>
              <w:ind w:left="913" w:hanging="357"/>
              <w:rPr>
                <w:sz w:val="16"/>
              </w:rPr>
            </w:pPr>
          </w:p>
        </w:tc>
        <w:tc>
          <w:tcPr>
            <w:tcW w:w="5074" w:type="dxa"/>
          </w:tcPr>
          <w:p w14:paraId="6D878C6E" w14:textId="66D3FCA9" w:rsidR="002F537E" w:rsidRPr="003D5E3D" w:rsidRDefault="002F537E" w:rsidP="00C825D6">
            <w:pPr>
              <w:pStyle w:val="BodyText2"/>
              <w:numPr>
                <w:ilvl w:val="0"/>
                <w:numId w:val="64"/>
              </w:numPr>
              <w:spacing w:before="60"/>
              <w:ind w:left="913" w:hanging="357"/>
              <w:rPr>
                <w:sz w:val="16"/>
                <w:lang w:val="en-US"/>
              </w:rPr>
            </w:pPr>
            <w:r w:rsidRPr="00B129A2">
              <w:rPr>
                <w:sz w:val="16"/>
                <w:lang w:val="en-US"/>
              </w:rPr>
              <w:t>insignificant benefits in kind, general employee benefits and other similar fringe benefits; an</w:t>
            </w:r>
            <w:r>
              <w:rPr>
                <w:sz w:val="16"/>
                <w:lang w:val="en-US"/>
              </w:rPr>
              <w:t>d</w:t>
            </w:r>
          </w:p>
        </w:tc>
      </w:tr>
      <w:tr w:rsidR="002F537E" w:rsidRPr="008E382F" w14:paraId="4FE55A8C" w14:textId="77777777" w:rsidTr="00846CDA">
        <w:trPr>
          <w:trHeight w:val="292"/>
        </w:trPr>
        <w:tc>
          <w:tcPr>
            <w:tcW w:w="4962" w:type="dxa"/>
          </w:tcPr>
          <w:p w14:paraId="5AC65755" w14:textId="58DFFB3F" w:rsidR="002F537E" w:rsidRPr="00A2176F" w:rsidRDefault="002F537E" w:rsidP="00C825D6">
            <w:pPr>
              <w:pStyle w:val="BodyText2"/>
              <w:numPr>
                <w:ilvl w:val="1"/>
                <w:numId w:val="25"/>
              </w:numPr>
              <w:spacing w:before="60"/>
              <w:ind w:left="913" w:hanging="357"/>
              <w:rPr>
                <w:sz w:val="16"/>
              </w:rPr>
            </w:pPr>
            <w:r>
              <w:rPr>
                <w:sz w:val="16"/>
              </w:rPr>
              <w:t xml:space="preserve">Entschädigungen, </w:t>
            </w:r>
            <w:r w:rsidRPr="00A2176F">
              <w:rPr>
                <w:sz w:val="16"/>
              </w:rPr>
              <w:t>Vorschüss</w:t>
            </w:r>
            <w:r>
              <w:rPr>
                <w:sz w:val="16"/>
              </w:rPr>
              <w:t>e und Versicherungen gemäss Absatz 3 dieses Artikels</w:t>
            </w:r>
            <w:r w:rsidRPr="00A2176F">
              <w:rPr>
                <w:sz w:val="16"/>
              </w:rPr>
              <w:t>.</w:t>
            </w:r>
          </w:p>
        </w:tc>
        <w:tc>
          <w:tcPr>
            <w:tcW w:w="596" w:type="dxa"/>
            <w:vMerge/>
          </w:tcPr>
          <w:p w14:paraId="061135B1" w14:textId="77777777" w:rsidR="002F537E" w:rsidRPr="006B57F0" w:rsidRDefault="002F537E" w:rsidP="002F537E">
            <w:pPr>
              <w:pStyle w:val="BodyText2"/>
              <w:spacing w:before="60"/>
              <w:ind w:left="913" w:hanging="357"/>
              <w:rPr>
                <w:sz w:val="16"/>
              </w:rPr>
            </w:pPr>
          </w:p>
        </w:tc>
        <w:tc>
          <w:tcPr>
            <w:tcW w:w="5074" w:type="dxa"/>
          </w:tcPr>
          <w:p w14:paraId="5D458AA9" w14:textId="5287FEA8" w:rsidR="002F537E" w:rsidRPr="00D869F3" w:rsidRDefault="002F537E" w:rsidP="00C825D6">
            <w:pPr>
              <w:pStyle w:val="BodyText2"/>
              <w:numPr>
                <w:ilvl w:val="0"/>
                <w:numId w:val="64"/>
              </w:numPr>
              <w:spacing w:before="60"/>
              <w:ind w:left="913" w:hanging="357"/>
              <w:rPr>
                <w:sz w:val="16"/>
                <w:lang w:val="en-US"/>
              </w:rPr>
            </w:pPr>
            <w:r w:rsidRPr="00B129A2">
              <w:rPr>
                <w:sz w:val="16"/>
                <w:lang w:val="en-US"/>
              </w:rPr>
              <w:t>indemnification, advances and insurances according to paragraph 3 of this article.</w:t>
            </w:r>
          </w:p>
        </w:tc>
      </w:tr>
      <w:tr w:rsidR="002F537E" w:rsidRPr="008E382F" w14:paraId="76203808" w14:textId="77777777" w:rsidTr="00846CDA">
        <w:trPr>
          <w:trHeight w:val="1257"/>
        </w:trPr>
        <w:tc>
          <w:tcPr>
            <w:tcW w:w="4962" w:type="dxa"/>
          </w:tcPr>
          <w:p w14:paraId="6DF285A5" w14:textId="4FA104BC" w:rsidR="002F537E" w:rsidRPr="00BC76F0" w:rsidRDefault="002F537E" w:rsidP="00C825D6">
            <w:pPr>
              <w:pStyle w:val="BodyText2"/>
              <w:numPr>
                <w:ilvl w:val="0"/>
                <w:numId w:val="25"/>
              </w:numPr>
              <w:spacing w:before="60"/>
              <w:ind w:left="425" w:hanging="425"/>
              <w:rPr>
                <w:sz w:val="16"/>
              </w:rPr>
            </w:pPr>
            <w:r w:rsidRPr="006B57F0">
              <w:rPr>
                <w:sz w:val="16"/>
              </w:rPr>
              <w:lastRenderedPageBreak/>
              <w:t>Die Gesellschaft kann im gesetzlich zulässigen Rahmen Mitglieder des Verwaltungsrates und der Geschäftsleitung für entstandene Nachteile im Zusammenhang mit Verfahren, Prozessen oder Vergleichen, die mit</w:t>
            </w:r>
            <w:r>
              <w:rPr>
                <w:sz w:val="16"/>
              </w:rPr>
              <w:t xml:space="preserve"> ihrer Tätigkeit für die Gesell</w:t>
            </w:r>
            <w:r w:rsidRPr="006B57F0">
              <w:rPr>
                <w:sz w:val="16"/>
              </w:rPr>
              <w:t>schaft zusammenhängen, entschädigen sowie entsprechend</w:t>
            </w:r>
            <w:r>
              <w:rPr>
                <w:sz w:val="16"/>
              </w:rPr>
              <w:t>e Beträge bevorschussen und Ver</w:t>
            </w:r>
            <w:r w:rsidRPr="006B57F0">
              <w:rPr>
                <w:sz w:val="16"/>
              </w:rPr>
              <w:t>sicherungen abs</w:t>
            </w:r>
            <w:r>
              <w:rPr>
                <w:sz w:val="16"/>
              </w:rPr>
              <w:t>chliessen. Solche Entschädigung</w:t>
            </w:r>
            <w:r w:rsidRPr="006B57F0">
              <w:rPr>
                <w:sz w:val="16"/>
              </w:rPr>
              <w:t>en, Vorschüsse und Versicherungen gelten nicht als Vergütung.</w:t>
            </w:r>
          </w:p>
        </w:tc>
        <w:tc>
          <w:tcPr>
            <w:tcW w:w="596" w:type="dxa"/>
            <w:vMerge/>
          </w:tcPr>
          <w:p w14:paraId="0BFDF92A" w14:textId="77777777" w:rsidR="002F537E" w:rsidRPr="006B57F0" w:rsidRDefault="002F537E" w:rsidP="002F537E">
            <w:pPr>
              <w:pStyle w:val="BodyText2"/>
              <w:spacing w:before="60"/>
              <w:ind w:left="425" w:hanging="425"/>
              <w:rPr>
                <w:sz w:val="16"/>
              </w:rPr>
            </w:pPr>
          </w:p>
        </w:tc>
        <w:tc>
          <w:tcPr>
            <w:tcW w:w="5074" w:type="dxa"/>
          </w:tcPr>
          <w:p w14:paraId="294C7B3A" w14:textId="16D299F6" w:rsidR="002F537E" w:rsidRPr="003C3C03" w:rsidRDefault="002F537E" w:rsidP="00C825D6">
            <w:pPr>
              <w:pStyle w:val="BodyText2"/>
              <w:numPr>
                <w:ilvl w:val="0"/>
                <w:numId w:val="49"/>
              </w:numPr>
              <w:spacing w:before="60"/>
              <w:ind w:left="425" w:hanging="425"/>
              <w:rPr>
                <w:sz w:val="16"/>
                <w:lang w:val="en-US"/>
              </w:rPr>
            </w:pPr>
            <w:r w:rsidRPr="00D869F3">
              <w:rPr>
                <w:sz w:val="16"/>
                <w:lang w:val="en-US"/>
              </w:rPr>
              <w:t>The company may, within the bounds of the law, indemnify members of the Board of Directors or the Group Executive Board for any prejudice suffered through administrative or judicial proceedings, or settlements, in connection with their services for the company, or provide advances on such amounts, or purchase insurance. Such indemnification, advances, and insurance shall not be counted as compensation.</w:t>
            </w:r>
          </w:p>
        </w:tc>
      </w:tr>
      <w:tr w:rsidR="002F537E" w:rsidRPr="008E382F" w14:paraId="5A21B696" w14:textId="77777777" w:rsidTr="00846CDA">
        <w:trPr>
          <w:trHeight w:val="1257"/>
        </w:trPr>
        <w:tc>
          <w:tcPr>
            <w:tcW w:w="4962" w:type="dxa"/>
          </w:tcPr>
          <w:p w14:paraId="4D12948D" w14:textId="49AEE4DE" w:rsidR="002F537E" w:rsidRPr="00BC76F0" w:rsidRDefault="002F537E" w:rsidP="00C825D6">
            <w:pPr>
              <w:pStyle w:val="BodyText2"/>
              <w:numPr>
                <w:ilvl w:val="0"/>
                <w:numId w:val="25"/>
              </w:numPr>
              <w:spacing w:before="60"/>
              <w:ind w:left="425" w:hanging="425"/>
              <w:rPr>
                <w:sz w:val="16"/>
              </w:rPr>
            </w:pPr>
            <w:r w:rsidRPr="001B5D55">
              <w:rPr>
                <w:sz w:val="16"/>
              </w:rPr>
              <w:t>Zuteilungen von Beteiligungsrechten (aktienbasierte Awards) stellen grundsätzlich Vergütung</w:t>
            </w:r>
            <w:r>
              <w:rPr>
                <w:sz w:val="16"/>
              </w:rPr>
              <w:t xml:space="preserve"> für das durch den Verwaltungsrat festgelegte </w:t>
            </w:r>
            <w:r w:rsidRPr="001B5D55">
              <w:rPr>
                <w:sz w:val="16"/>
              </w:rPr>
              <w:t>Jahr</w:t>
            </w:r>
            <w:r>
              <w:rPr>
                <w:sz w:val="16"/>
              </w:rPr>
              <w:t xml:space="preserve"> dar und in Ermangelung einer Festlegung, Vergütung für das Jahr der Zuteilung. Der Verwaltungsrat kann bestimmen, dass eine Zuteilung ganz oder teilweise Vergütung für ein anderes Jahr als dasjenige der Zuteilung darstellt und zum Markt-/Zeitwert (fair </w:t>
            </w:r>
            <w:proofErr w:type="spellStart"/>
            <w:r>
              <w:rPr>
                <w:sz w:val="16"/>
              </w:rPr>
              <w:t>value</w:t>
            </w:r>
            <w:proofErr w:type="spellEnd"/>
            <w:r>
              <w:rPr>
                <w:sz w:val="16"/>
              </w:rPr>
              <w:t xml:space="preserve">) oder Nominalbetrag sowie zu einem anderen Datum als demjenigen der Zuteilung zu bewerten ist. </w:t>
            </w:r>
          </w:p>
        </w:tc>
        <w:tc>
          <w:tcPr>
            <w:tcW w:w="596" w:type="dxa"/>
            <w:vMerge/>
          </w:tcPr>
          <w:p w14:paraId="5CD9B29F" w14:textId="77777777" w:rsidR="002F537E" w:rsidRPr="006B57F0" w:rsidRDefault="002F537E" w:rsidP="002F537E">
            <w:pPr>
              <w:pStyle w:val="BodyText2"/>
              <w:spacing w:before="60"/>
              <w:ind w:left="425" w:hanging="425"/>
              <w:rPr>
                <w:sz w:val="16"/>
              </w:rPr>
            </w:pPr>
          </w:p>
        </w:tc>
        <w:tc>
          <w:tcPr>
            <w:tcW w:w="5074" w:type="dxa"/>
          </w:tcPr>
          <w:p w14:paraId="26A66FF4" w14:textId="24FCF3F2" w:rsidR="002F537E" w:rsidRPr="002D0641" w:rsidRDefault="002F537E" w:rsidP="00C825D6">
            <w:pPr>
              <w:pStyle w:val="BodyText2"/>
              <w:numPr>
                <w:ilvl w:val="0"/>
                <w:numId w:val="49"/>
              </w:numPr>
              <w:spacing w:before="60"/>
              <w:ind w:left="425" w:hanging="425"/>
              <w:rPr>
                <w:sz w:val="16"/>
                <w:lang w:val="en-US"/>
              </w:rPr>
            </w:pPr>
            <w:r w:rsidRPr="008518C3">
              <w:rPr>
                <w:sz w:val="16"/>
                <w:lang w:val="en-US"/>
              </w:rPr>
              <w:t xml:space="preserve">Any equity awards constitute compensation for the year stipulated by the Board of Directors and failing any such stipulation shall constitute compensation for the year during which </w:t>
            </w:r>
            <w:r>
              <w:rPr>
                <w:sz w:val="16"/>
                <w:lang w:val="en-US"/>
              </w:rPr>
              <w:t>they are</w:t>
            </w:r>
            <w:r w:rsidRPr="008518C3">
              <w:rPr>
                <w:sz w:val="16"/>
                <w:lang w:val="en-US"/>
              </w:rPr>
              <w:t xml:space="preserve"> granted. The Board of Directors may determine that all or part of an award shall constitute variable compensation in a different year from the year in which it is granted and be valued at fair value or face value and at a different date from the date of grant (to </w:t>
            </w:r>
            <w:r>
              <w:rPr>
                <w:sz w:val="16"/>
                <w:lang w:val="en-US"/>
              </w:rPr>
              <w:t xml:space="preserve">the </w:t>
            </w:r>
            <w:r w:rsidRPr="008518C3">
              <w:rPr>
                <w:sz w:val="16"/>
                <w:lang w:val="en-US"/>
              </w:rPr>
              <w:t>extent permitted by applicable law).</w:t>
            </w:r>
          </w:p>
        </w:tc>
      </w:tr>
      <w:tr w:rsidR="002F537E" w:rsidRPr="008E382F" w14:paraId="5C2F172B" w14:textId="77777777" w:rsidTr="00846CDA">
        <w:trPr>
          <w:trHeight w:val="1257"/>
        </w:trPr>
        <w:tc>
          <w:tcPr>
            <w:tcW w:w="4962" w:type="dxa"/>
          </w:tcPr>
          <w:p w14:paraId="5A667541" w14:textId="0C53FE5C" w:rsidR="002F537E" w:rsidRPr="00BC76F0" w:rsidRDefault="002F537E" w:rsidP="00C825D6">
            <w:pPr>
              <w:pStyle w:val="BodyText2"/>
              <w:numPr>
                <w:ilvl w:val="0"/>
                <w:numId w:val="25"/>
              </w:numPr>
              <w:spacing w:before="60"/>
              <w:ind w:left="425" w:hanging="425"/>
              <w:rPr>
                <w:sz w:val="16"/>
              </w:rPr>
            </w:pPr>
            <w:r w:rsidRPr="001B5D55">
              <w:rPr>
                <w:sz w:val="16"/>
              </w:rPr>
              <w:t>Der Verwaltungsrat oder der Vergütungsausschuss ist autorisiert, die näheren Vorschriften und Bedingungen von variablen Vergütungen zu spezifizieren, sei dies in Bonus- und Beteiligungsplänen, Arbeits- oder Zuteilungsverträgen oder anderweitig. Sie bestimmen die Bedingungen der Gewährung, der Unverfallbarkeit (</w:t>
            </w:r>
            <w:proofErr w:type="spellStart"/>
            <w:r w:rsidRPr="001B5D55">
              <w:rPr>
                <w:sz w:val="16"/>
              </w:rPr>
              <w:t>Vesting</w:t>
            </w:r>
            <w:proofErr w:type="spellEnd"/>
            <w:r w:rsidRPr="001B5D55">
              <w:rPr>
                <w:sz w:val="16"/>
              </w:rPr>
              <w:t>), der Leistung, der Sperrung, der Ausübung und des Verfalls von aktienbasierten Awards und können Mechanismen zur Anpassung oder Rückforderung von variablen Vergütungen vorsehen. Sie können insbesondere vorsehen, dass gewisse variable Vergütungen oder deren Äquivalent in bar während einer Freistellung ausbezahlt oder gewährt werden (wobei in diesem Fall die Ausrichtung auf dem im letzten Jahr bzw. in den letzten Jahren ausgerichteten durchschnittlichen Bonus bzw. Incentive oder dem Zielbonus bzw. Incentive basieren kann) und dass aktienbasierte Awards (i) im Falle eines Kontrollwechsels betreffend die Gesellschaft und (ii) im Falle der Beendigung der Anstellung eines Mitgliedes der Geschäftsleitung unverfallbar werden (</w:t>
            </w:r>
            <w:proofErr w:type="spellStart"/>
            <w:r w:rsidRPr="001B5D55">
              <w:rPr>
                <w:sz w:val="16"/>
              </w:rPr>
              <w:t>vesten</w:t>
            </w:r>
            <w:proofErr w:type="spellEnd"/>
            <w:r w:rsidRPr="001B5D55">
              <w:rPr>
                <w:sz w:val="16"/>
              </w:rPr>
              <w:t>) und Sperrfristen aufgehoben werden.</w:t>
            </w:r>
          </w:p>
        </w:tc>
        <w:tc>
          <w:tcPr>
            <w:tcW w:w="596" w:type="dxa"/>
            <w:vMerge/>
          </w:tcPr>
          <w:p w14:paraId="27AD1382" w14:textId="77777777" w:rsidR="002F537E" w:rsidRPr="006B57F0" w:rsidRDefault="002F537E" w:rsidP="002F537E">
            <w:pPr>
              <w:pStyle w:val="BodyText2"/>
              <w:spacing w:before="60"/>
              <w:ind w:left="425" w:hanging="425"/>
              <w:rPr>
                <w:sz w:val="16"/>
              </w:rPr>
            </w:pPr>
          </w:p>
        </w:tc>
        <w:tc>
          <w:tcPr>
            <w:tcW w:w="5074" w:type="dxa"/>
          </w:tcPr>
          <w:p w14:paraId="35D23459" w14:textId="4813AAEF" w:rsidR="002F537E" w:rsidRPr="00D869F3" w:rsidRDefault="002F537E" w:rsidP="00C825D6">
            <w:pPr>
              <w:pStyle w:val="BodyText2"/>
              <w:numPr>
                <w:ilvl w:val="0"/>
                <w:numId w:val="49"/>
              </w:numPr>
              <w:spacing w:before="60"/>
              <w:ind w:left="425" w:hanging="425"/>
              <w:rPr>
                <w:sz w:val="16"/>
                <w:lang w:val="en-US"/>
              </w:rPr>
            </w:pPr>
            <w:r w:rsidRPr="00D869F3">
              <w:rPr>
                <w:sz w:val="16"/>
                <w:lang w:val="en-US"/>
              </w:rPr>
              <w:t>The Board of Directors or the Compensation Committee is authorized to specify any further terms and conditions of equity awards or variable compensation, be it in bonus and equity incentive plans, employment or award agreements or otherwise. They shall determine grant, vesting, blocking, performance, exercise and forfeiture conditions of any equity awards and may provide for mechanisms for adjustment or claw back of variable compensation. In particular, they may provide that certain variable compensation or their cash equivalent is paid or granted during garden leave (in which case the payout may be based on the average bonus or incentive paid in the last year(s) or on the target bonus or incentive), and that equity awards will vest and any blocking periods will be</w:t>
            </w:r>
            <w:r w:rsidRPr="00B129A2">
              <w:rPr>
                <w:sz w:val="16"/>
                <w:lang w:val="en-US"/>
              </w:rPr>
              <w:t xml:space="preserve"> waived (</w:t>
            </w:r>
            <w:proofErr w:type="spellStart"/>
            <w:r w:rsidRPr="00B129A2">
              <w:rPr>
                <w:sz w:val="16"/>
                <w:lang w:val="en-US"/>
              </w:rPr>
              <w:t>i</w:t>
            </w:r>
            <w:proofErr w:type="spellEnd"/>
            <w:r w:rsidRPr="00B129A2">
              <w:rPr>
                <w:sz w:val="16"/>
                <w:lang w:val="en-US"/>
              </w:rPr>
              <w:t>) in the event of a change in control regarding the Company and (ii) in the event of termination of employment of a member of the Group Executive Board.</w:t>
            </w:r>
          </w:p>
        </w:tc>
      </w:tr>
      <w:tr w:rsidR="002F537E" w:rsidRPr="00937FAC" w14:paraId="08B48F97" w14:textId="77777777" w:rsidTr="00846CDA">
        <w:tc>
          <w:tcPr>
            <w:tcW w:w="4962" w:type="dxa"/>
          </w:tcPr>
          <w:p w14:paraId="76070E8C" w14:textId="77777777" w:rsidR="002F537E" w:rsidRPr="008E382F" w:rsidRDefault="002F537E" w:rsidP="002F537E">
            <w:pPr>
              <w:pStyle w:val="BodyText2"/>
              <w:ind w:left="340"/>
              <w:jc w:val="center"/>
              <w:rPr>
                <w:sz w:val="16"/>
                <w:lang w:val="en-US"/>
              </w:rPr>
            </w:pPr>
          </w:p>
          <w:p w14:paraId="07C60899" w14:textId="10800119" w:rsidR="002F537E" w:rsidRPr="00C21CD6" w:rsidRDefault="002F537E" w:rsidP="002F537E">
            <w:pPr>
              <w:pStyle w:val="BodyText2"/>
              <w:jc w:val="center"/>
              <w:rPr>
                <w:b/>
                <w:sz w:val="16"/>
              </w:rPr>
            </w:pPr>
            <w:r w:rsidRPr="00C21CD6">
              <w:rPr>
                <w:b/>
                <w:sz w:val="16"/>
              </w:rPr>
              <w:t xml:space="preserve">Art. </w:t>
            </w:r>
            <w:r>
              <w:rPr>
                <w:b/>
                <w:sz w:val="16"/>
              </w:rPr>
              <w:t>27</w:t>
            </w:r>
          </w:p>
          <w:p w14:paraId="5975F5F7" w14:textId="77777777" w:rsidR="002F537E" w:rsidRDefault="002F537E" w:rsidP="002F537E">
            <w:pPr>
              <w:pStyle w:val="BodyText2"/>
              <w:jc w:val="center"/>
              <w:rPr>
                <w:b/>
                <w:sz w:val="16"/>
              </w:rPr>
            </w:pPr>
            <w:r w:rsidRPr="00C21CD6">
              <w:rPr>
                <w:b/>
                <w:sz w:val="16"/>
              </w:rPr>
              <w:t>Genehmigung durch die Generalversammlung</w:t>
            </w:r>
          </w:p>
          <w:p w14:paraId="5344933F" w14:textId="09F00ED7" w:rsidR="002F537E" w:rsidRPr="00C21CD6" w:rsidRDefault="002F537E" w:rsidP="002F537E">
            <w:pPr>
              <w:pStyle w:val="BodyText2"/>
              <w:jc w:val="center"/>
              <w:rPr>
                <w:sz w:val="16"/>
              </w:rPr>
            </w:pPr>
          </w:p>
        </w:tc>
        <w:tc>
          <w:tcPr>
            <w:tcW w:w="596" w:type="dxa"/>
          </w:tcPr>
          <w:p w14:paraId="08D1C489" w14:textId="77777777" w:rsidR="002F537E" w:rsidRPr="00C21CD6" w:rsidRDefault="002F537E" w:rsidP="002F537E">
            <w:pPr>
              <w:pStyle w:val="BodyText2"/>
              <w:jc w:val="center"/>
              <w:rPr>
                <w:sz w:val="16"/>
              </w:rPr>
            </w:pPr>
          </w:p>
        </w:tc>
        <w:tc>
          <w:tcPr>
            <w:tcW w:w="5074" w:type="dxa"/>
          </w:tcPr>
          <w:p w14:paraId="726D7DC7" w14:textId="77777777" w:rsidR="002F537E" w:rsidRPr="0066149F" w:rsidRDefault="002F537E" w:rsidP="002F537E">
            <w:pPr>
              <w:pStyle w:val="BodyText2"/>
              <w:ind w:left="317"/>
              <w:jc w:val="center"/>
              <w:rPr>
                <w:b/>
                <w:sz w:val="16"/>
                <w:lang w:val="en-US"/>
              </w:rPr>
            </w:pPr>
          </w:p>
          <w:p w14:paraId="6D7F3C78" w14:textId="19B6DFE5" w:rsidR="002F537E" w:rsidRPr="00D96C82" w:rsidRDefault="002F537E" w:rsidP="002F537E">
            <w:pPr>
              <w:pStyle w:val="BodyText2"/>
              <w:jc w:val="center"/>
              <w:rPr>
                <w:b/>
                <w:sz w:val="16"/>
                <w:lang w:val="en-US"/>
              </w:rPr>
            </w:pPr>
            <w:r>
              <w:rPr>
                <w:b/>
                <w:sz w:val="16"/>
                <w:lang w:val="en-US"/>
              </w:rPr>
              <w:t>Art.</w:t>
            </w:r>
            <w:r w:rsidRPr="00D96C82">
              <w:rPr>
                <w:b/>
                <w:sz w:val="16"/>
                <w:lang w:val="en-US"/>
              </w:rPr>
              <w:t xml:space="preserve"> </w:t>
            </w:r>
            <w:r>
              <w:rPr>
                <w:b/>
                <w:sz w:val="16"/>
                <w:lang w:val="en-US"/>
              </w:rPr>
              <w:t>27</w:t>
            </w:r>
          </w:p>
          <w:p w14:paraId="453FA721" w14:textId="77777777" w:rsidR="002F537E" w:rsidRDefault="002F537E" w:rsidP="002F537E">
            <w:pPr>
              <w:pStyle w:val="BodyText2"/>
              <w:jc w:val="center"/>
              <w:rPr>
                <w:b/>
                <w:sz w:val="16"/>
                <w:lang w:val="en-US"/>
              </w:rPr>
            </w:pPr>
            <w:r w:rsidRPr="00D96C82">
              <w:rPr>
                <w:b/>
                <w:sz w:val="16"/>
                <w:lang w:val="en-US"/>
              </w:rPr>
              <w:t>Approval by the General Meeting</w:t>
            </w:r>
          </w:p>
          <w:p w14:paraId="35FB673E" w14:textId="77777777" w:rsidR="002F537E" w:rsidRPr="000907A8" w:rsidRDefault="002F537E" w:rsidP="002F537E">
            <w:pPr>
              <w:pStyle w:val="BodyText2"/>
              <w:ind w:left="317"/>
              <w:jc w:val="center"/>
              <w:rPr>
                <w:sz w:val="16"/>
                <w:lang w:val="en-US"/>
              </w:rPr>
            </w:pPr>
          </w:p>
        </w:tc>
      </w:tr>
      <w:tr w:rsidR="002F537E" w:rsidRPr="00937FAC" w14:paraId="417EE003" w14:textId="77777777" w:rsidTr="00846CDA">
        <w:trPr>
          <w:trHeight w:val="235"/>
        </w:trPr>
        <w:tc>
          <w:tcPr>
            <w:tcW w:w="4962" w:type="dxa"/>
          </w:tcPr>
          <w:p w14:paraId="23FB174F" w14:textId="200794AB" w:rsidR="002F537E" w:rsidRPr="00DD5FDA" w:rsidRDefault="002F537E" w:rsidP="002F537E">
            <w:pPr>
              <w:pStyle w:val="BodyText2"/>
              <w:numPr>
                <w:ilvl w:val="0"/>
                <w:numId w:val="12"/>
              </w:numPr>
              <w:spacing w:before="60"/>
              <w:ind w:left="425" w:hanging="425"/>
              <w:rPr>
                <w:sz w:val="16"/>
              </w:rPr>
            </w:pPr>
            <w:r w:rsidRPr="00AE01CE">
              <w:rPr>
                <w:sz w:val="16"/>
              </w:rPr>
              <w:t>Die ordentliche Generalvers</w:t>
            </w:r>
            <w:r>
              <w:rPr>
                <w:sz w:val="16"/>
              </w:rPr>
              <w:t>ammlung genehmigt jedes Jahr jeden maximalen Gesamtbetrag:</w:t>
            </w:r>
          </w:p>
        </w:tc>
        <w:tc>
          <w:tcPr>
            <w:tcW w:w="596" w:type="dxa"/>
            <w:vMerge w:val="restart"/>
          </w:tcPr>
          <w:p w14:paraId="72B9F282" w14:textId="77777777" w:rsidR="002F537E" w:rsidRPr="00095F40" w:rsidRDefault="002F537E" w:rsidP="002F537E">
            <w:pPr>
              <w:pStyle w:val="BodyText2"/>
              <w:ind w:left="425" w:hanging="425"/>
              <w:rPr>
                <w:sz w:val="16"/>
              </w:rPr>
            </w:pPr>
          </w:p>
        </w:tc>
        <w:tc>
          <w:tcPr>
            <w:tcW w:w="5074" w:type="dxa"/>
          </w:tcPr>
          <w:p w14:paraId="7E8EA5E3" w14:textId="186D7828" w:rsidR="002F537E" w:rsidRPr="00DD5FDA" w:rsidRDefault="002F537E" w:rsidP="00C825D6">
            <w:pPr>
              <w:pStyle w:val="BodyText2"/>
              <w:numPr>
                <w:ilvl w:val="0"/>
                <w:numId w:val="50"/>
              </w:numPr>
              <w:spacing w:before="60"/>
              <w:ind w:left="425" w:hanging="425"/>
              <w:rPr>
                <w:sz w:val="16"/>
                <w:lang w:val="en-US"/>
              </w:rPr>
            </w:pPr>
            <w:r w:rsidRPr="00B129A2">
              <w:rPr>
                <w:sz w:val="16"/>
                <w:lang w:val="en-US"/>
              </w:rPr>
              <w:t>Each year the ordinary General Meeting shall approve separately the maximum aggregate amount each of:</w:t>
            </w:r>
          </w:p>
        </w:tc>
      </w:tr>
      <w:tr w:rsidR="002F537E" w:rsidRPr="00937FAC" w14:paraId="7C74D070" w14:textId="77777777" w:rsidTr="00846CDA">
        <w:trPr>
          <w:trHeight w:val="147"/>
        </w:trPr>
        <w:tc>
          <w:tcPr>
            <w:tcW w:w="4962" w:type="dxa"/>
          </w:tcPr>
          <w:p w14:paraId="28CB7315" w14:textId="7C97F793" w:rsidR="002F537E" w:rsidRPr="00630E5E" w:rsidRDefault="002F537E" w:rsidP="00C825D6">
            <w:pPr>
              <w:pStyle w:val="BodyText2"/>
              <w:numPr>
                <w:ilvl w:val="0"/>
                <w:numId w:val="23"/>
              </w:numPr>
              <w:spacing w:before="60"/>
              <w:ind w:left="913" w:hanging="357"/>
              <w:rPr>
                <w:sz w:val="16"/>
              </w:rPr>
            </w:pPr>
            <w:r w:rsidRPr="00AE01CE">
              <w:rPr>
                <w:sz w:val="16"/>
              </w:rPr>
              <w:t>der Vergütungen</w:t>
            </w:r>
            <w:r>
              <w:rPr>
                <w:sz w:val="16"/>
              </w:rPr>
              <w:t xml:space="preserve"> </w:t>
            </w:r>
            <w:r w:rsidRPr="00AE01CE">
              <w:rPr>
                <w:sz w:val="16"/>
              </w:rPr>
              <w:t>für den Verwaltungsr</w:t>
            </w:r>
            <w:r>
              <w:rPr>
                <w:sz w:val="16"/>
              </w:rPr>
              <w:t>at bis zur nächsten ordentli</w:t>
            </w:r>
            <w:r w:rsidRPr="00AE01CE">
              <w:rPr>
                <w:sz w:val="16"/>
              </w:rPr>
              <w:t>chen Generalversammlung;</w:t>
            </w:r>
            <w:r>
              <w:rPr>
                <w:sz w:val="16"/>
              </w:rPr>
              <w:t xml:space="preserve"> </w:t>
            </w:r>
            <w:r w:rsidRPr="00AE01CE">
              <w:rPr>
                <w:sz w:val="16"/>
              </w:rPr>
              <w:t>und</w:t>
            </w:r>
          </w:p>
        </w:tc>
        <w:tc>
          <w:tcPr>
            <w:tcW w:w="596" w:type="dxa"/>
            <w:vMerge/>
          </w:tcPr>
          <w:p w14:paraId="200AAF9E" w14:textId="77777777" w:rsidR="002F537E" w:rsidRPr="00095F40" w:rsidRDefault="002F537E" w:rsidP="002F537E">
            <w:pPr>
              <w:pStyle w:val="BodyText2"/>
              <w:ind w:left="913" w:hanging="357"/>
              <w:rPr>
                <w:sz w:val="16"/>
              </w:rPr>
            </w:pPr>
          </w:p>
        </w:tc>
        <w:tc>
          <w:tcPr>
            <w:tcW w:w="5074" w:type="dxa"/>
          </w:tcPr>
          <w:p w14:paraId="550002B6" w14:textId="55AF1BDE" w:rsidR="002F537E" w:rsidRPr="00DD5FDA" w:rsidRDefault="002F537E" w:rsidP="00C825D6">
            <w:pPr>
              <w:pStyle w:val="BodyText2"/>
              <w:numPr>
                <w:ilvl w:val="1"/>
                <w:numId w:val="50"/>
              </w:numPr>
              <w:spacing w:before="60"/>
              <w:ind w:left="913" w:hanging="357"/>
              <w:rPr>
                <w:sz w:val="16"/>
                <w:lang w:val="en-US"/>
              </w:rPr>
            </w:pPr>
            <w:r w:rsidRPr="00B129A2">
              <w:rPr>
                <w:sz w:val="16"/>
                <w:lang w:val="en-US"/>
              </w:rPr>
              <w:t>the compensation of the Board of Directors until the next ordinary General Meeting; and</w:t>
            </w:r>
            <w:r w:rsidRPr="00B129A2" w:rsidDel="00BF7B9D">
              <w:rPr>
                <w:sz w:val="16"/>
                <w:lang w:val="en-US"/>
              </w:rPr>
              <w:t xml:space="preserve"> </w:t>
            </w:r>
          </w:p>
        </w:tc>
      </w:tr>
      <w:tr w:rsidR="002F537E" w:rsidRPr="00937FAC" w14:paraId="25975018" w14:textId="77777777" w:rsidTr="00846CDA">
        <w:trPr>
          <w:trHeight w:val="146"/>
        </w:trPr>
        <w:tc>
          <w:tcPr>
            <w:tcW w:w="4962" w:type="dxa"/>
          </w:tcPr>
          <w:p w14:paraId="49215082" w14:textId="5C8978F7" w:rsidR="002F537E" w:rsidRPr="00AE01CE" w:rsidRDefault="002F537E" w:rsidP="00C825D6">
            <w:pPr>
              <w:pStyle w:val="BodyText2"/>
              <w:numPr>
                <w:ilvl w:val="0"/>
                <w:numId w:val="23"/>
              </w:numPr>
              <w:spacing w:before="60"/>
              <w:ind w:left="913" w:hanging="357"/>
              <w:rPr>
                <w:sz w:val="16"/>
              </w:rPr>
            </w:pPr>
            <w:r w:rsidRPr="00AE01CE">
              <w:rPr>
                <w:sz w:val="16"/>
              </w:rPr>
              <w:t>der Vergütungen für die Geschäftsleitung für da</w:t>
            </w:r>
            <w:r>
              <w:rPr>
                <w:sz w:val="16"/>
              </w:rPr>
              <w:t>s nächste Kalender</w:t>
            </w:r>
            <w:r w:rsidRPr="00AE01CE">
              <w:rPr>
                <w:sz w:val="16"/>
              </w:rPr>
              <w:t>jahr.</w:t>
            </w:r>
          </w:p>
        </w:tc>
        <w:tc>
          <w:tcPr>
            <w:tcW w:w="596" w:type="dxa"/>
            <w:vMerge/>
          </w:tcPr>
          <w:p w14:paraId="1E1A76FA" w14:textId="77777777" w:rsidR="002F537E" w:rsidRPr="00095F40" w:rsidRDefault="002F537E" w:rsidP="002F537E">
            <w:pPr>
              <w:pStyle w:val="BodyText2"/>
              <w:ind w:left="913" w:hanging="357"/>
              <w:rPr>
                <w:sz w:val="16"/>
              </w:rPr>
            </w:pPr>
          </w:p>
        </w:tc>
        <w:tc>
          <w:tcPr>
            <w:tcW w:w="5074" w:type="dxa"/>
          </w:tcPr>
          <w:p w14:paraId="78530FF0" w14:textId="08210AAB" w:rsidR="002F537E" w:rsidRPr="00B129A2" w:rsidRDefault="002F537E" w:rsidP="00C825D6">
            <w:pPr>
              <w:pStyle w:val="BodyText2"/>
              <w:numPr>
                <w:ilvl w:val="1"/>
                <w:numId w:val="50"/>
              </w:numPr>
              <w:spacing w:before="60"/>
              <w:ind w:left="913" w:hanging="357"/>
              <w:rPr>
                <w:sz w:val="16"/>
                <w:lang w:val="en-US"/>
              </w:rPr>
            </w:pPr>
            <w:r w:rsidRPr="00B129A2">
              <w:rPr>
                <w:sz w:val="16"/>
                <w:lang w:val="en-US"/>
              </w:rPr>
              <w:t>the compensation of the Executive Management for the next calendar year.</w:t>
            </w:r>
          </w:p>
        </w:tc>
      </w:tr>
      <w:tr w:rsidR="002F537E" w:rsidRPr="00937FAC" w14:paraId="00B28DA1" w14:textId="77777777" w:rsidTr="00846CDA">
        <w:trPr>
          <w:trHeight w:val="1029"/>
        </w:trPr>
        <w:tc>
          <w:tcPr>
            <w:tcW w:w="4962" w:type="dxa"/>
          </w:tcPr>
          <w:p w14:paraId="41C0C3AA" w14:textId="0B18F4AC" w:rsidR="002F537E" w:rsidRPr="006A553A" w:rsidRDefault="002F537E" w:rsidP="002F537E">
            <w:pPr>
              <w:pStyle w:val="BodyText2"/>
              <w:numPr>
                <w:ilvl w:val="0"/>
                <w:numId w:val="12"/>
              </w:numPr>
              <w:spacing w:before="60"/>
              <w:ind w:left="425" w:hanging="425"/>
              <w:rPr>
                <w:sz w:val="16"/>
              </w:rPr>
            </w:pPr>
            <w:r w:rsidRPr="00AE01CE">
              <w:rPr>
                <w:sz w:val="16"/>
              </w:rPr>
              <w:t xml:space="preserve">Genehmigt die Generalversammlung einen Gesamtbetrag nach </w:t>
            </w:r>
            <w:r>
              <w:rPr>
                <w:sz w:val="16"/>
              </w:rPr>
              <w:t xml:space="preserve">Absatz </w:t>
            </w:r>
            <w:r w:rsidRPr="002B57A5">
              <w:rPr>
                <w:sz w:val="16"/>
              </w:rPr>
              <w:t>1</w:t>
            </w:r>
            <w:r>
              <w:rPr>
                <w:sz w:val="16"/>
              </w:rPr>
              <w:t xml:space="preserve"> dieses Artikels nicht, so berücksichtigt der Verwaltungsrat die Ergebnisse der Ab</w:t>
            </w:r>
            <w:r w:rsidRPr="00AE01CE">
              <w:rPr>
                <w:sz w:val="16"/>
              </w:rPr>
              <w:t>s</w:t>
            </w:r>
            <w:r>
              <w:rPr>
                <w:sz w:val="16"/>
              </w:rPr>
              <w:t xml:space="preserve">timmung, andere </w:t>
            </w:r>
            <w:r w:rsidRPr="00AE01CE">
              <w:rPr>
                <w:sz w:val="16"/>
              </w:rPr>
              <w:t>Aktionärsr</w:t>
            </w:r>
            <w:r>
              <w:rPr>
                <w:sz w:val="16"/>
              </w:rPr>
              <w:t>ückmeldungen sowie weitere</w:t>
            </w:r>
            <w:r w:rsidRPr="00AE01CE">
              <w:rPr>
                <w:sz w:val="16"/>
              </w:rPr>
              <w:t xml:space="preserve"> Aspekte</w:t>
            </w:r>
            <w:r>
              <w:rPr>
                <w:sz w:val="16"/>
              </w:rPr>
              <w:t xml:space="preserve"> </w:t>
            </w:r>
            <w:r w:rsidRPr="00AE01CE">
              <w:rPr>
                <w:sz w:val="16"/>
              </w:rPr>
              <w:t>nach</w:t>
            </w:r>
            <w:r>
              <w:rPr>
                <w:sz w:val="16"/>
              </w:rPr>
              <w:t xml:space="preserve"> eigenem Ermessen </w:t>
            </w:r>
            <w:r w:rsidRPr="00AE01CE">
              <w:rPr>
                <w:sz w:val="16"/>
              </w:rPr>
              <w:t>und er kann anschlies</w:t>
            </w:r>
            <w:r>
              <w:rPr>
                <w:sz w:val="16"/>
              </w:rPr>
              <w:t>send an einer nachfolgenden (or</w:t>
            </w:r>
            <w:r w:rsidRPr="00AE01CE">
              <w:rPr>
                <w:sz w:val="16"/>
              </w:rPr>
              <w:t>dentlichen oder ausseror</w:t>
            </w:r>
            <w:r>
              <w:rPr>
                <w:sz w:val="16"/>
              </w:rPr>
              <w:t>dentlichen) Generalversammlung</w:t>
            </w:r>
            <w:r w:rsidRPr="00AE01CE">
              <w:rPr>
                <w:sz w:val="16"/>
              </w:rPr>
              <w:t xml:space="preserve"> einen neuen</w:t>
            </w:r>
            <w:r>
              <w:rPr>
                <w:sz w:val="16"/>
              </w:rPr>
              <w:t xml:space="preserve"> Antrag für einen </w:t>
            </w:r>
            <w:r w:rsidRPr="00AE01CE">
              <w:rPr>
                <w:sz w:val="16"/>
              </w:rPr>
              <w:t>solchen Gesamtbetrag</w:t>
            </w:r>
            <w:r>
              <w:rPr>
                <w:sz w:val="16"/>
              </w:rPr>
              <w:t xml:space="preserve"> stellen, und die Gesellschaft </w:t>
            </w:r>
            <w:r w:rsidRPr="00AE01CE">
              <w:rPr>
                <w:sz w:val="16"/>
              </w:rPr>
              <w:t>darf</w:t>
            </w:r>
            <w:r>
              <w:rPr>
                <w:sz w:val="16"/>
              </w:rPr>
              <w:t xml:space="preserve"> Vergütungen</w:t>
            </w:r>
            <w:r w:rsidRPr="00AE01CE">
              <w:rPr>
                <w:sz w:val="16"/>
              </w:rPr>
              <w:t xml:space="preserve"> unte</w:t>
            </w:r>
            <w:r>
              <w:rPr>
                <w:sz w:val="16"/>
              </w:rPr>
              <w:t>r Vorbehalt der nachträglichen</w:t>
            </w:r>
            <w:r w:rsidRPr="00AE01CE">
              <w:rPr>
                <w:sz w:val="16"/>
              </w:rPr>
              <w:t xml:space="preserve"> Genehmigung durch die</w:t>
            </w:r>
            <w:r>
              <w:rPr>
                <w:sz w:val="16"/>
              </w:rPr>
              <w:t xml:space="preserve"> Generalversammlung ausrichten. Der Verwaltungsrat darf auch Genehmigungsanträge</w:t>
            </w:r>
            <w:r w:rsidRPr="00AE01CE">
              <w:rPr>
                <w:sz w:val="16"/>
              </w:rPr>
              <w:t xml:space="preserve"> aufteilen, indem er Antr</w:t>
            </w:r>
            <w:r>
              <w:rPr>
                <w:sz w:val="16"/>
              </w:rPr>
              <w:t xml:space="preserve">äge in Bezug auf einzelne Vergütungselemente, kürzere </w:t>
            </w:r>
            <w:r w:rsidRPr="00AE01CE">
              <w:rPr>
                <w:sz w:val="16"/>
              </w:rPr>
              <w:t>Zeitper</w:t>
            </w:r>
            <w:r>
              <w:rPr>
                <w:sz w:val="16"/>
              </w:rPr>
              <w:t>ioden oder einen engeren</w:t>
            </w:r>
            <w:r w:rsidRPr="00AE01CE">
              <w:rPr>
                <w:sz w:val="16"/>
              </w:rPr>
              <w:t xml:space="preserve"> Personenkreis</w:t>
            </w:r>
            <w:r>
              <w:rPr>
                <w:sz w:val="16"/>
              </w:rPr>
              <w:t xml:space="preserve"> </w:t>
            </w:r>
            <w:r w:rsidRPr="00AE01CE">
              <w:rPr>
                <w:sz w:val="16"/>
              </w:rPr>
              <w:t>stellt.</w:t>
            </w:r>
          </w:p>
        </w:tc>
        <w:tc>
          <w:tcPr>
            <w:tcW w:w="596" w:type="dxa"/>
            <w:vMerge/>
          </w:tcPr>
          <w:p w14:paraId="1B1F2401" w14:textId="77777777" w:rsidR="002F537E" w:rsidRPr="00095F40" w:rsidRDefault="002F537E" w:rsidP="002F537E">
            <w:pPr>
              <w:pStyle w:val="BodyText2"/>
              <w:ind w:left="425" w:hanging="425"/>
              <w:rPr>
                <w:sz w:val="16"/>
              </w:rPr>
            </w:pPr>
          </w:p>
        </w:tc>
        <w:tc>
          <w:tcPr>
            <w:tcW w:w="5074" w:type="dxa"/>
          </w:tcPr>
          <w:p w14:paraId="14B50CA3" w14:textId="3EE2762F" w:rsidR="002F537E" w:rsidRPr="00B8168A" w:rsidRDefault="002F537E" w:rsidP="00C825D6">
            <w:pPr>
              <w:pStyle w:val="BodyText2"/>
              <w:numPr>
                <w:ilvl w:val="0"/>
                <w:numId w:val="50"/>
              </w:numPr>
              <w:spacing w:before="60"/>
              <w:ind w:left="425" w:hanging="425"/>
              <w:rPr>
                <w:sz w:val="16"/>
                <w:lang w:val="en-US"/>
              </w:rPr>
            </w:pPr>
            <w:r w:rsidRPr="00B129A2">
              <w:rPr>
                <w:sz w:val="16"/>
                <w:lang w:val="en-US"/>
              </w:rPr>
              <w:t xml:space="preserve">If the General Meeting does not approve an aggregate amount pursuant to paragraph 1 of this article, the Board of Directors shall consider the results of the vote, other shareholder feedback and other matters in its discretion and it may thereafter submit a new proposal for such aggregate amount at a subsequent (extraordinary or ordinary) General Meeting, and the Company may pay compensation subject to the subsequent approval. The Board of Directors may also split proposals for approval by submitting proposals in respect to </w:t>
            </w:r>
            <w:proofErr w:type="gramStart"/>
            <w:r w:rsidRPr="00B129A2">
              <w:rPr>
                <w:sz w:val="16"/>
                <w:lang w:val="en-US"/>
              </w:rPr>
              <w:t>particular elements</w:t>
            </w:r>
            <w:proofErr w:type="gramEnd"/>
            <w:r w:rsidRPr="00B129A2">
              <w:rPr>
                <w:sz w:val="16"/>
                <w:lang w:val="en-US"/>
              </w:rPr>
              <w:t xml:space="preserve"> of compensation, shorter periods of time, or a more limited group of persons.</w:t>
            </w:r>
          </w:p>
        </w:tc>
      </w:tr>
      <w:tr w:rsidR="002F537E" w:rsidRPr="00937FAC" w14:paraId="648D3FE2" w14:textId="77777777" w:rsidTr="00846CDA">
        <w:trPr>
          <w:trHeight w:val="1029"/>
        </w:trPr>
        <w:tc>
          <w:tcPr>
            <w:tcW w:w="4962" w:type="dxa"/>
          </w:tcPr>
          <w:p w14:paraId="5CF006BE" w14:textId="10068DDF" w:rsidR="002F537E" w:rsidRPr="006A553A" w:rsidRDefault="002F537E" w:rsidP="002F537E">
            <w:pPr>
              <w:pStyle w:val="BodyText2"/>
              <w:numPr>
                <w:ilvl w:val="0"/>
                <w:numId w:val="12"/>
              </w:numPr>
              <w:spacing w:before="60"/>
              <w:ind w:left="425" w:hanging="425"/>
              <w:rPr>
                <w:sz w:val="16"/>
              </w:rPr>
            </w:pPr>
            <w:r>
              <w:rPr>
                <w:sz w:val="16"/>
              </w:rPr>
              <w:t>Die Generalversammlung kann jederzeit eine nachträgliche</w:t>
            </w:r>
            <w:r w:rsidRPr="00AE01CE">
              <w:rPr>
                <w:sz w:val="16"/>
              </w:rPr>
              <w:t xml:space="preserve"> Erhöhung</w:t>
            </w:r>
            <w:r>
              <w:rPr>
                <w:sz w:val="16"/>
              </w:rPr>
              <w:t xml:space="preserve"> </w:t>
            </w:r>
            <w:r w:rsidRPr="00AE01CE">
              <w:rPr>
                <w:sz w:val="16"/>
              </w:rPr>
              <w:t>eines genehmigten Gesamtbetrags oder zusätzliche Beträge für gewisse</w:t>
            </w:r>
            <w:r>
              <w:rPr>
                <w:sz w:val="16"/>
              </w:rPr>
              <w:t xml:space="preserve"> </w:t>
            </w:r>
            <w:r w:rsidRPr="00AE01CE">
              <w:rPr>
                <w:sz w:val="16"/>
              </w:rPr>
              <w:t>Vergütungselemente genehmigen. Sie kann insbesondere einen möglichen</w:t>
            </w:r>
            <w:r>
              <w:rPr>
                <w:sz w:val="16"/>
              </w:rPr>
              <w:t xml:space="preserve"> ausserordentlichen Bonus</w:t>
            </w:r>
            <w:r w:rsidRPr="00AE01CE">
              <w:rPr>
                <w:sz w:val="16"/>
              </w:rPr>
              <w:t xml:space="preserve"> genehmigen,</w:t>
            </w:r>
            <w:r>
              <w:rPr>
                <w:sz w:val="16"/>
              </w:rPr>
              <w:t xml:space="preserve"> der auszurichten ist:</w:t>
            </w:r>
            <w:r w:rsidRPr="00AE01CE">
              <w:rPr>
                <w:sz w:val="16"/>
              </w:rPr>
              <w:t xml:space="preserve"> (i)</w:t>
            </w:r>
            <w:r>
              <w:rPr>
                <w:sz w:val="16"/>
              </w:rPr>
              <w:t xml:space="preserve"> </w:t>
            </w:r>
            <w:r w:rsidRPr="00AE01CE">
              <w:rPr>
                <w:sz w:val="16"/>
              </w:rPr>
              <w:t>an den</w:t>
            </w:r>
            <w:r>
              <w:rPr>
                <w:sz w:val="16"/>
              </w:rPr>
              <w:t xml:space="preserve"> Verwaltungsrat</w:t>
            </w:r>
            <w:r w:rsidRPr="00AE01CE">
              <w:rPr>
                <w:sz w:val="16"/>
              </w:rPr>
              <w:t xml:space="preserve"> </w:t>
            </w:r>
            <w:r w:rsidRPr="00AE01CE">
              <w:rPr>
                <w:sz w:val="16"/>
              </w:rPr>
              <w:lastRenderedPageBreak/>
              <w:t>in bar oder Aktien für in</w:t>
            </w:r>
            <w:r>
              <w:rPr>
                <w:sz w:val="16"/>
              </w:rPr>
              <w:t xml:space="preserve"> einer vorangehenden Periode geleistete ausserordentliche und zusätzliche Arbeit, oder (ii) an die Geschäftsleitung für die</w:t>
            </w:r>
            <w:r w:rsidRPr="00AE01CE">
              <w:rPr>
                <w:sz w:val="16"/>
              </w:rPr>
              <w:t xml:space="preserve"> </w:t>
            </w:r>
            <w:r>
              <w:rPr>
                <w:sz w:val="16"/>
              </w:rPr>
              <w:t xml:space="preserve">Leistung im vorherigen Kalenderjahr </w:t>
            </w:r>
            <w:r w:rsidRPr="00AE01CE">
              <w:rPr>
                <w:sz w:val="16"/>
              </w:rPr>
              <w:t>ausserhalb</w:t>
            </w:r>
            <w:r>
              <w:rPr>
                <w:sz w:val="16"/>
              </w:rPr>
              <w:t xml:space="preserve"> </w:t>
            </w:r>
            <w:r w:rsidRPr="00AE01CE">
              <w:rPr>
                <w:sz w:val="16"/>
              </w:rPr>
              <w:t xml:space="preserve">und zusätzlich zu einem Bonus, der im Rahmen von </w:t>
            </w:r>
            <w:r>
              <w:rPr>
                <w:sz w:val="16"/>
              </w:rPr>
              <w:t xml:space="preserve">Absatz 1 </w:t>
            </w:r>
            <w:proofErr w:type="spellStart"/>
            <w:r>
              <w:rPr>
                <w:sz w:val="16"/>
              </w:rPr>
              <w:t>lit</w:t>
            </w:r>
            <w:proofErr w:type="spellEnd"/>
            <w:r>
              <w:rPr>
                <w:sz w:val="16"/>
              </w:rPr>
              <w:t xml:space="preserve">. b dieses Artikels </w:t>
            </w:r>
            <w:r w:rsidRPr="00AE01CE">
              <w:rPr>
                <w:sz w:val="16"/>
              </w:rPr>
              <w:t>ausgerichtet wurde.</w:t>
            </w:r>
          </w:p>
        </w:tc>
        <w:tc>
          <w:tcPr>
            <w:tcW w:w="596" w:type="dxa"/>
            <w:vMerge/>
          </w:tcPr>
          <w:p w14:paraId="7F3F9C22" w14:textId="77777777" w:rsidR="002F537E" w:rsidRPr="00095F40" w:rsidRDefault="002F537E" w:rsidP="002F537E">
            <w:pPr>
              <w:pStyle w:val="BodyText2"/>
              <w:ind w:left="425" w:hanging="425"/>
              <w:rPr>
                <w:sz w:val="16"/>
              </w:rPr>
            </w:pPr>
          </w:p>
        </w:tc>
        <w:tc>
          <w:tcPr>
            <w:tcW w:w="5074" w:type="dxa"/>
          </w:tcPr>
          <w:p w14:paraId="4655CC59" w14:textId="052DFB1F" w:rsidR="002F537E" w:rsidRPr="00B8168A" w:rsidRDefault="002F537E" w:rsidP="00C825D6">
            <w:pPr>
              <w:pStyle w:val="BodyText2"/>
              <w:numPr>
                <w:ilvl w:val="0"/>
                <w:numId w:val="50"/>
              </w:numPr>
              <w:spacing w:before="60"/>
              <w:ind w:left="425" w:hanging="425"/>
              <w:rPr>
                <w:sz w:val="16"/>
                <w:lang w:val="en-US"/>
              </w:rPr>
            </w:pPr>
            <w:r w:rsidRPr="00B129A2">
              <w:rPr>
                <w:sz w:val="16"/>
                <w:lang w:val="en-US"/>
              </w:rPr>
              <w:t>The General Meeting may at any time approve a subsequent increase of an approved aggregate amount or approve additional amounts for certain elements of compensation. In particular, it may approve a possible extraordinary bonus payable (</w:t>
            </w:r>
            <w:proofErr w:type="spellStart"/>
            <w:r w:rsidRPr="00B129A2">
              <w:rPr>
                <w:sz w:val="16"/>
                <w:lang w:val="en-US"/>
              </w:rPr>
              <w:t>i</w:t>
            </w:r>
            <w:proofErr w:type="spellEnd"/>
            <w:r w:rsidRPr="00B129A2">
              <w:rPr>
                <w:sz w:val="16"/>
                <w:lang w:val="en-US"/>
              </w:rPr>
              <w:t xml:space="preserve">) to the Board of Directors in cash or shares for extraordinary and additional </w:t>
            </w:r>
            <w:r w:rsidRPr="00B129A2">
              <w:rPr>
                <w:sz w:val="16"/>
                <w:lang w:val="en-US"/>
              </w:rPr>
              <w:lastRenderedPageBreak/>
              <w:t>work performed in a preceding period or (ii) to the Executive Management for the performance in the prior calendar year outside of and in addition to any bonus paid within the scope of paragraph 1 lit. b above.</w:t>
            </w:r>
          </w:p>
        </w:tc>
      </w:tr>
      <w:tr w:rsidR="002F537E" w:rsidRPr="00937FAC" w14:paraId="0DCB3A1C" w14:textId="77777777" w:rsidTr="00846CDA">
        <w:trPr>
          <w:trHeight w:val="1029"/>
        </w:trPr>
        <w:tc>
          <w:tcPr>
            <w:tcW w:w="4962" w:type="dxa"/>
          </w:tcPr>
          <w:p w14:paraId="19D89ADE" w14:textId="771918EB" w:rsidR="002F537E" w:rsidRPr="006A553A" w:rsidRDefault="002F537E" w:rsidP="002F537E">
            <w:pPr>
              <w:pStyle w:val="BodyText2"/>
              <w:numPr>
                <w:ilvl w:val="0"/>
                <w:numId w:val="12"/>
              </w:numPr>
              <w:spacing w:before="60"/>
              <w:ind w:left="425" w:hanging="425"/>
              <w:rPr>
                <w:sz w:val="16"/>
              </w:rPr>
            </w:pPr>
            <w:r w:rsidRPr="00AE01CE">
              <w:rPr>
                <w:sz w:val="16"/>
              </w:rPr>
              <w:lastRenderedPageBreak/>
              <w:t xml:space="preserve">Die Gesellschaft </w:t>
            </w:r>
            <w:r w:rsidR="006F3AE4" w:rsidRPr="006F3AE4">
              <w:rPr>
                <w:sz w:val="16"/>
              </w:rPr>
              <w:t xml:space="preserve">oder von ihr kontrollierte Unternehmen </w:t>
            </w:r>
            <w:r w:rsidRPr="00AE01CE">
              <w:rPr>
                <w:sz w:val="16"/>
              </w:rPr>
              <w:t>ist</w:t>
            </w:r>
            <w:r w:rsidR="006F3AE4">
              <w:rPr>
                <w:sz w:val="16"/>
              </w:rPr>
              <w:t>/sind</w:t>
            </w:r>
            <w:r w:rsidRPr="00AE01CE">
              <w:rPr>
                <w:sz w:val="16"/>
              </w:rPr>
              <w:t xml:space="preserve"> berechtigt, Vergütung (einschlie</w:t>
            </w:r>
            <w:r>
              <w:rPr>
                <w:sz w:val="16"/>
              </w:rPr>
              <w:t>ss</w:t>
            </w:r>
            <w:r w:rsidRPr="00AE01CE">
              <w:rPr>
                <w:sz w:val="16"/>
              </w:rPr>
              <w:t>lich Entschädigung für den Verlust von Vergütung oder für finanzielle Nachteile im Zusammenhang mit dem Arbeitswechsel) an Mitglieder</w:t>
            </w:r>
            <w:r>
              <w:rPr>
                <w:sz w:val="16"/>
              </w:rPr>
              <w:t xml:space="preserve"> </w:t>
            </w:r>
            <w:r w:rsidRPr="00AE01CE">
              <w:rPr>
                <w:sz w:val="16"/>
              </w:rPr>
              <w:t>der Geschäftsleitung zu bezahlen, die nach dem relevanten</w:t>
            </w:r>
            <w:r>
              <w:rPr>
                <w:sz w:val="16"/>
              </w:rPr>
              <w:t xml:space="preserve"> </w:t>
            </w:r>
            <w:r w:rsidRPr="00AE01CE">
              <w:rPr>
                <w:sz w:val="16"/>
              </w:rPr>
              <w:t xml:space="preserve">Genehmigungsbeschluss der Generalversammlung </w:t>
            </w:r>
            <w:r w:rsidR="00F635D1" w:rsidRPr="00F635D1">
              <w:rPr>
                <w:sz w:val="16"/>
              </w:rPr>
              <w:t>für die massgebende Vergütungsperiode</w:t>
            </w:r>
            <w:r w:rsidRPr="00AE01CE">
              <w:rPr>
                <w:sz w:val="16"/>
              </w:rPr>
              <w:t xml:space="preserve"> in die Geschäftsleitung eintreten</w:t>
            </w:r>
            <w:r w:rsidR="00F635D1">
              <w:rPr>
                <w:sz w:val="16"/>
              </w:rPr>
              <w:t>,</w:t>
            </w:r>
            <w:r w:rsidR="00E83548">
              <w:rPr>
                <w:sz w:val="16"/>
              </w:rPr>
              <w:t xml:space="preserve"> </w:t>
            </w:r>
            <w:r w:rsidRPr="006F3AE4">
              <w:rPr>
                <w:sz w:val="16"/>
              </w:rPr>
              <w:t xml:space="preserve">wenn der durch die Generalversammlung </w:t>
            </w:r>
            <w:r w:rsidR="00F635D1">
              <w:rPr>
                <w:sz w:val="16"/>
              </w:rPr>
              <w:t xml:space="preserve">für die massgebliche Vergütungsperiode </w:t>
            </w:r>
            <w:r w:rsidRPr="006F3AE4">
              <w:rPr>
                <w:sz w:val="16"/>
              </w:rPr>
              <w:t xml:space="preserve">bereits genehmigte </w:t>
            </w:r>
            <w:r w:rsidR="00F635D1">
              <w:rPr>
                <w:sz w:val="16"/>
              </w:rPr>
              <w:t xml:space="preserve">maximale </w:t>
            </w:r>
            <w:r w:rsidR="0072461D">
              <w:rPr>
                <w:sz w:val="16"/>
              </w:rPr>
              <w:t>Vergütungsg</w:t>
            </w:r>
            <w:r w:rsidR="00F635D1">
              <w:rPr>
                <w:sz w:val="16"/>
              </w:rPr>
              <w:t xml:space="preserve">esamtbetrag für </w:t>
            </w:r>
            <w:r w:rsidR="00D83C83">
              <w:rPr>
                <w:sz w:val="16"/>
              </w:rPr>
              <w:t xml:space="preserve">die </w:t>
            </w:r>
            <w:r w:rsidR="00F635D1" w:rsidRPr="00AE01CE">
              <w:rPr>
                <w:sz w:val="16"/>
              </w:rPr>
              <w:t xml:space="preserve">Geschäftsleitung </w:t>
            </w:r>
            <w:r w:rsidR="00F635D1">
              <w:rPr>
                <w:sz w:val="16"/>
              </w:rPr>
              <w:t xml:space="preserve">für eine solche Vergütung </w:t>
            </w:r>
            <w:r w:rsidRPr="006F3AE4">
              <w:rPr>
                <w:sz w:val="16"/>
              </w:rPr>
              <w:t>nicht ausreichend ist</w:t>
            </w:r>
            <w:r w:rsidRPr="00AE01CE">
              <w:rPr>
                <w:sz w:val="16"/>
              </w:rPr>
              <w:t xml:space="preserve">. Diese Zusatzbeträge müssen nicht durch die Generalversammlung genehmigt werden, sofern ihre Summe </w:t>
            </w:r>
            <w:r w:rsidRPr="00B65B4A">
              <w:rPr>
                <w:sz w:val="16"/>
              </w:rPr>
              <w:t>40%</w:t>
            </w:r>
            <w:r>
              <w:rPr>
                <w:sz w:val="16"/>
              </w:rPr>
              <w:t xml:space="preserve"> </w:t>
            </w:r>
            <w:r w:rsidRPr="00AE01CE">
              <w:rPr>
                <w:sz w:val="16"/>
              </w:rPr>
              <w:t xml:space="preserve">des </w:t>
            </w:r>
            <w:r w:rsidR="00D83C83">
              <w:rPr>
                <w:sz w:val="16"/>
              </w:rPr>
              <w:t xml:space="preserve">für die betreffende Vergütungsperiode </w:t>
            </w:r>
            <w:r w:rsidRPr="00AE01CE">
              <w:rPr>
                <w:sz w:val="16"/>
              </w:rPr>
              <w:t>genehmigten maximalen Gesamtbetrags (vollständig, ni</w:t>
            </w:r>
            <w:r>
              <w:rPr>
                <w:sz w:val="16"/>
              </w:rPr>
              <w:t xml:space="preserve">cht pro </w:t>
            </w:r>
            <w:proofErr w:type="spellStart"/>
            <w:r>
              <w:rPr>
                <w:sz w:val="16"/>
              </w:rPr>
              <w:t>rata</w:t>
            </w:r>
            <w:proofErr w:type="spellEnd"/>
            <w:r>
              <w:rPr>
                <w:sz w:val="16"/>
              </w:rPr>
              <w:t xml:space="preserve"> temporis) der Ver</w:t>
            </w:r>
            <w:r w:rsidRPr="00AE01CE">
              <w:rPr>
                <w:sz w:val="16"/>
              </w:rPr>
              <w:t>gütung für die Mitgliede</w:t>
            </w:r>
            <w:r>
              <w:rPr>
                <w:sz w:val="16"/>
              </w:rPr>
              <w:t>r der Geschäftsleitung für dies</w:t>
            </w:r>
            <w:r w:rsidRPr="00AE01CE">
              <w:rPr>
                <w:sz w:val="16"/>
              </w:rPr>
              <w:t xml:space="preserve">elbe </w:t>
            </w:r>
            <w:r w:rsidR="00D83C83">
              <w:rPr>
                <w:sz w:val="16"/>
              </w:rPr>
              <w:t>Vergütungsperiode</w:t>
            </w:r>
            <w:r w:rsidRPr="00AE01CE">
              <w:rPr>
                <w:sz w:val="16"/>
              </w:rPr>
              <w:t xml:space="preserve"> nicht überschreitet, für welche die Ge</w:t>
            </w:r>
            <w:r>
              <w:rPr>
                <w:sz w:val="16"/>
              </w:rPr>
              <w:t>nehmigung durch die Generalver</w:t>
            </w:r>
            <w:r w:rsidRPr="00AE01CE">
              <w:rPr>
                <w:sz w:val="16"/>
              </w:rPr>
              <w:t>sammlung bereits erteilt wurde.</w:t>
            </w:r>
          </w:p>
        </w:tc>
        <w:tc>
          <w:tcPr>
            <w:tcW w:w="596" w:type="dxa"/>
            <w:vMerge/>
          </w:tcPr>
          <w:p w14:paraId="25BA015B" w14:textId="77777777" w:rsidR="002F537E" w:rsidRPr="00095F40" w:rsidRDefault="002F537E" w:rsidP="002F537E">
            <w:pPr>
              <w:pStyle w:val="BodyText2"/>
              <w:ind w:left="425" w:hanging="425"/>
              <w:rPr>
                <w:sz w:val="16"/>
              </w:rPr>
            </w:pPr>
          </w:p>
        </w:tc>
        <w:tc>
          <w:tcPr>
            <w:tcW w:w="5074" w:type="dxa"/>
          </w:tcPr>
          <w:p w14:paraId="6BD2B734" w14:textId="017CDD73" w:rsidR="002F537E" w:rsidRPr="00B8168A" w:rsidRDefault="002F537E" w:rsidP="00C825D6">
            <w:pPr>
              <w:pStyle w:val="BodyText2"/>
              <w:numPr>
                <w:ilvl w:val="0"/>
                <w:numId w:val="50"/>
              </w:numPr>
              <w:spacing w:before="60"/>
              <w:ind w:left="425" w:hanging="425"/>
              <w:rPr>
                <w:sz w:val="16"/>
                <w:lang w:val="en-US"/>
              </w:rPr>
            </w:pPr>
            <w:r w:rsidRPr="00B129A2">
              <w:rPr>
                <w:sz w:val="16"/>
                <w:lang w:val="en-US"/>
              </w:rPr>
              <w:t>The Company</w:t>
            </w:r>
            <w:r w:rsidR="006F3AE4" w:rsidRPr="002C3320">
              <w:rPr>
                <w:lang w:val="en-US"/>
              </w:rPr>
              <w:t xml:space="preserve"> </w:t>
            </w:r>
            <w:r w:rsidR="006F3AE4" w:rsidRPr="006F3AE4">
              <w:rPr>
                <w:sz w:val="16"/>
                <w:lang w:val="en-US"/>
              </w:rPr>
              <w:t>or companies controlled by it</w:t>
            </w:r>
            <w:r w:rsidRPr="00B129A2">
              <w:rPr>
                <w:sz w:val="16"/>
                <w:lang w:val="en-US"/>
              </w:rPr>
              <w:t xml:space="preserve"> is</w:t>
            </w:r>
            <w:r w:rsidR="006F3AE4">
              <w:rPr>
                <w:sz w:val="16"/>
                <w:lang w:val="en-US"/>
              </w:rPr>
              <w:t>/are</w:t>
            </w:r>
            <w:r w:rsidRPr="00B129A2">
              <w:rPr>
                <w:sz w:val="16"/>
                <w:lang w:val="en-US"/>
              </w:rPr>
              <w:t xml:space="preserve"> authorized to pay compensation (including indemnification for loss of compensation or for financial disadvantages in connection with the change of employment) to members of the Group Executive Board who after the relevant approval resolution by the General Meeting</w:t>
            </w:r>
            <w:r w:rsidR="00F635D1">
              <w:rPr>
                <w:sz w:val="16"/>
                <w:lang w:val="en-US"/>
              </w:rPr>
              <w:t xml:space="preserve"> for the relevant compensation period</w:t>
            </w:r>
            <w:r w:rsidRPr="00B129A2">
              <w:rPr>
                <w:sz w:val="16"/>
                <w:lang w:val="en-US"/>
              </w:rPr>
              <w:t xml:space="preserve"> join the Group Executive Board</w:t>
            </w:r>
            <w:r w:rsidRPr="00B129A2" w:rsidDel="00AC55CD">
              <w:rPr>
                <w:sz w:val="16"/>
                <w:lang w:val="en-US"/>
              </w:rPr>
              <w:t xml:space="preserve"> </w:t>
            </w:r>
            <w:r w:rsidRPr="006F3AE4">
              <w:rPr>
                <w:sz w:val="16"/>
                <w:lang w:val="en-US"/>
              </w:rPr>
              <w:t xml:space="preserve">if the total </w:t>
            </w:r>
            <w:r w:rsidR="00F635D1">
              <w:rPr>
                <w:sz w:val="16"/>
                <w:lang w:val="en-US"/>
              </w:rPr>
              <w:t xml:space="preserve">maximum </w:t>
            </w:r>
            <w:r w:rsidR="0072461D">
              <w:rPr>
                <w:sz w:val="16"/>
                <w:lang w:val="en-US"/>
              </w:rPr>
              <w:t xml:space="preserve">compensation </w:t>
            </w:r>
            <w:r w:rsidRPr="006F3AE4">
              <w:rPr>
                <w:sz w:val="16"/>
                <w:lang w:val="en-US"/>
              </w:rPr>
              <w:t xml:space="preserve">amount </w:t>
            </w:r>
            <w:r w:rsidR="00F635D1">
              <w:rPr>
                <w:sz w:val="16"/>
                <w:lang w:val="en-US"/>
              </w:rPr>
              <w:t xml:space="preserve">of the Group Executive Board </w:t>
            </w:r>
            <w:r w:rsidRPr="006F3AE4">
              <w:rPr>
                <w:sz w:val="16"/>
                <w:lang w:val="en-US"/>
              </w:rPr>
              <w:t xml:space="preserve">already approved by the General Meeting </w:t>
            </w:r>
            <w:r w:rsidR="00F635D1">
              <w:rPr>
                <w:sz w:val="16"/>
                <w:lang w:val="en-US"/>
              </w:rPr>
              <w:t xml:space="preserve">for the relevant compensation period </w:t>
            </w:r>
            <w:r w:rsidRPr="006F3AE4">
              <w:rPr>
                <w:sz w:val="16"/>
                <w:lang w:val="en-US"/>
              </w:rPr>
              <w:t>is not sufficient</w:t>
            </w:r>
            <w:r w:rsidR="00F635D1">
              <w:rPr>
                <w:sz w:val="16"/>
                <w:lang w:val="en-US"/>
              </w:rPr>
              <w:t xml:space="preserve"> for such compensation</w:t>
            </w:r>
            <w:r w:rsidRPr="00B129A2">
              <w:rPr>
                <w:sz w:val="16"/>
                <w:lang w:val="en-US"/>
              </w:rPr>
              <w:t xml:space="preserve">. These supplementary amounts do not need to be approved by the General Meeting, provided that their sum in each single relevant </w:t>
            </w:r>
            <w:r w:rsidR="00D83C83">
              <w:rPr>
                <w:sz w:val="16"/>
                <w:lang w:val="en-US"/>
              </w:rPr>
              <w:t>compensation period</w:t>
            </w:r>
            <w:r w:rsidR="00D83C83" w:rsidRPr="00B129A2">
              <w:rPr>
                <w:sz w:val="16"/>
                <w:lang w:val="en-US"/>
              </w:rPr>
              <w:t xml:space="preserve"> </w:t>
            </w:r>
            <w:r w:rsidRPr="00B129A2">
              <w:rPr>
                <w:sz w:val="16"/>
                <w:lang w:val="en-US"/>
              </w:rPr>
              <w:t xml:space="preserve">does not exceed 40% of the approved maximum aggregate amount (in full not pro rata temporis) of the compensation of the members of the </w:t>
            </w:r>
            <w:r w:rsidR="00276E4A">
              <w:rPr>
                <w:sz w:val="16"/>
                <w:lang w:val="en-US"/>
              </w:rPr>
              <w:t>Group Executive Board</w:t>
            </w:r>
            <w:r w:rsidRPr="00B129A2">
              <w:rPr>
                <w:sz w:val="16"/>
                <w:lang w:val="en-US"/>
              </w:rPr>
              <w:t xml:space="preserve"> for the same </w:t>
            </w:r>
            <w:r w:rsidR="00D83C83">
              <w:rPr>
                <w:sz w:val="16"/>
                <w:lang w:val="en-US"/>
              </w:rPr>
              <w:t>compensation period</w:t>
            </w:r>
            <w:r w:rsidR="00D83C83" w:rsidRPr="00B129A2">
              <w:rPr>
                <w:sz w:val="16"/>
                <w:lang w:val="en-US"/>
              </w:rPr>
              <w:t xml:space="preserve"> </w:t>
            </w:r>
            <w:r w:rsidRPr="00B129A2">
              <w:rPr>
                <w:sz w:val="16"/>
                <w:lang w:val="en-US"/>
              </w:rPr>
              <w:t>for which approval by the General Meeting has already been obtained.</w:t>
            </w:r>
          </w:p>
        </w:tc>
      </w:tr>
      <w:tr w:rsidR="002F537E" w:rsidRPr="00937FAC" w14:paraId="1A41E575" w14:textId="77777777" w:rsidTr="00846CDA">
        <w:trPr>
          <w:trHeight w:val="380"/>
        </w:trPr>
        <w:tc>
          <w:tcPr>
            <w:tcW w:w="4962" w:type="dxa"/>
          </w:tcPr>
          <w:p w14:paraId="4880ED28" w14:textId="35D67671" w:rsidR="002F537E" w:rsidRPr="00AE01CE" w:rsidRDefault="002F537E" w:rsidP="002F537E">
            <w:pPr>
              <w:pStyle w:val="BodyText2"/>
              <w:numPr>
                <w:ilvl w:val="0"/>
                <w:numId w:val="12"/>
              </w:numPr>
              <w:spacing w:before="60"/>
              <w:ind w:left="425" w:hanging="425"/>
              <w:rPr>
                <w:sz w:val="16"/>
              </w:rPr>
            </w:pPr>
            <w:r w:rsidRPr="0064565F">
              <w:rPr>
                <w:sz w:val="16"/>
              </w:rPr>
              <w:t>Eine Überschreitung der genehmigten maximalen Gesamtbeträge aufgrund von Wechselkursschwankungen ist unbeachtlich.</w:t>
            </w:r>
          </w:p>
        </w:tc>
        <w:tc>
          <w:tcPr>
            <w:tcW w:w="596" w:type="dxa"/>
            <w:vMerge/>
          </w:tcPr>
          <w:p w14:paraId="1516FF16" w14:textId="77777777" w:rsidR="002F537E" w:rsidRPr="00095F40" w:rsidRDefault="002F537E" w:rsidP="002F537E">
            <w:pPr>
              <w:pStyle w:val="BodyText2"/>
              <w:ind w:left="425" w:hanging="425"/>
              <w:rPr>
                <w:sz w:val="16"/>
              </w:rPr>
            </w:pPr>
          </w:p>
        </w:tc>
        <w:tc>
          <w:tcPr>
            <w:tcW w:w="5074" w:type="dxa"/>
          </w:tcPr>
          <w:p w14:paraId="2E44A385" w14:textId="02AE6BAD" w:rsidR="002F537E" w:rsidRPr="00B129A2" w:rsidRDefault="002F537E" w:rsidP="00C825D6">
            <w:pPr>
              <w:pStyle w:val="BodyText2"/>
              <w:numPr>
                <w:ilvl w:val="0"/>
                <w:numId w:val="50"/>
              </w:numPr>
              <w:spacing w:before="60"/>
              <w:ind w:left="425" w:hanging="425"/>
              <w:rPr>
                <w:sz w:val="16"/>
                <w:lang w:val="en-US"/>
              </w:rPr>
            </w:pPr>
            <w:r w:rsidRPr="00B129A2">
              <w:rPr>
                <w:sz w:val="16"/>
                <w:lang w:val="en-US"/>
              </w:rPr>
              <w:t>Any excess of the approved maximum aggregate amounts due to exchange rate fluctuations shall be disregarded.</w:t>
            </w:r>
          </w:p>
        </w:tc>
      </w:tr>
      <w:tr w:rsidR="002F537E" w:rsidRPr="000907A8" w14:paraId="7EB79B27" w14:textId="77777777" w:rsidTr="00846CDA">
        <w:tc>
          <w:tcPr>
            <w:tcW w:w="4962" w:type="dxa"/>
          </w:tcPr>
          <w:p w14:paraId="3B64B852" w14:textId="77777777" w:rsidR="002F537E" w:rsidRDefault="002F537E" w:rsidP="002F537E">
            <w:pPr>
              <w:pStyle w:val="BodyText2"/>
              <w:ind w:left="340"/>
              <w:jc w:val="center"/>
              <w:rPr>
                <w:b/>
                <w:sz w:val="16"/>
                <w:lang w:val="en-US"/>
              </w:rPr>
            </w:pPr>
          </w:p>
          <w:p w14:paraId="21FFE47A" w14:textId="17B8166E" w:rsidR="002F537E" w:rsidRPr="001C67C4" w:rsidRDefault="002F537E" w:rsidP="002F537E">
            <w:pPr>
              <w:pStyle w:val="BodyText2"/>
              <w:jc w:val="center"/>
              <w:rPr>
                <w:b/>
                <w:sz w:val="16"/>
                <w:lang w:val="en-US"/>
              </w:rPr>
            </w:pPr>
            <w:r w:rsidRPr="001C67C4">
              <w:rPr>
                <w:b/>
                <w:sz w:val="16"/>
                <w:lang w:val="en-US"/>
              </w:rPr>
              <w:t xml:space="preserve">Art. </w:t>
            </w:r>
            <w:r>
              <w:rPr>
                <w:b/>
                <w:sz w:val="16"/>
                <w:lang w:val="en-US"/>
              </w:rPr>
              <w:t>28</w:t>
            </w:r>
          </w:p>
          <w:p w14:paraId="70ECE91F" w14:textId="77777777" w:rsidR="002F537E" w:rsidRPr="000907A8" w:rsidRDefault="002F537E" w:rsidP="002F537E">
            <w:pPr>
              <w:pStyle w:val="BodyText2"/>
              <w:jc w:val="center"/>
              <w:rPr>
                <w:sz w:val="16"/>
                <w:lang w:val="en-US"/>
              </w:rPr>
            </w:pPr>
            <w:r w:rsidRPr="001C67C4">
              <w:rPr>
                <w:b/>
                <w:sz w:val="16"/>
                <w:lang w:val="en-US"/>
              </w:rPr>
              <w:t>Externe Mandate</w:t>
            </w:r>
          </w:p>
        </w:tc>
        <w:tc>
          <w:tcPr>
            <w:tcW w:w="596" w:type="dxa"/>
          </w:tcPr>
          <w:p w14:paraId="4BB82B12" w14:textId="77777777" w:rsidR="002F537E" w:rsidRPr="000907A8" w:rsidRDefault="002F537E" w:rsidP="002F537E">
            <w:pPr>
              <w:pStyle w:val="BodyText2"/>
              <w:jc w:val="center"/>
              <w:rPr>
                <w:sz w:val="16"/>
                <w:lang w:val="en-US"/>
              </w:rPr>
            </w:pPr>
          </w:p>
        </w:tc>
        <w:tc>
          <w:tcPr>
            <w:tcW w:w="5074" w:type="dxa"/>
          </w:tcPr>
          <w:p w14:paraId="73591F16" w14:textId="77777777" w:rsidR="002F537E" w:rsidRDefault="002F537E" w:rsidP="002F537E">
            <w:pPr>
              <w:jc w:val="center"/>
              <w:rPr>
                <w:rFonts w:ascii="Verdana" w:hAnsi="Verdana"/>
                <w:b/>
                <w:sz w:val="16"/>
                <w:lang w:val="en-US"/>
              </w:rPr>
            </w:pPr>
          </w:p>
          <w:p w14:paraId="3D0A8F1F" w14:textId="0C414352" w:rsidR="002F537E" w:rsidRPr="000907A8" w:rsidRDefault="002F537E" w:rsidP="002F537E">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28</w:t>
            </w:r>
          </w:p>
          <w:p w14:paraId="5921631D" w14:textId="77777777" w:rsidR="002F537E" w:rsidRPr="000907A8" w:rsidRDefault="002F537E" w:rsidP="002F537E">
            <w:pPr>
              <w:jc w:val="center"/>
              <w:rPr>
                <w:rFonts w:ascii="Verdana" w:hAnsi="Verdana"/>
                <w:b/>
                <w:sz w:val="16"/>
                <w:lang w:val="en-US"/>
              </w:rPr>
            </w:pPr>
            <w:r>
              <w:rPr>
                <w:rFonts w:ascii="Verdana" w:hAnsi="Verdana"/>
                <w:b/>
                <w:sz w:val="16"/>
                <w:lang w:val="en-US"/>
              </w:rPr>
              <w:t>External mandates</w:t>
            </w:r>
          </w:p>
          <w:p w14:paraId="70E43AFB" w14:textId="77777777" w:rsidR="002F537E" w:rsidRPr="000907A8" w:rsidRDefault="002F537E" w:rsidP="002F537E">
            <w:pPr>
              <w:pStyle w:val="BodyText2"/>
              <w:jc w:val="center"/>
              <w:rPr>
                <w:sz w:val="16"/>
                <w:lang w:val="en-US"/>
              </w:rPr>
            </w:pPr>
          </w:p>
        </w:tc>
      </w:tr>
      <w:tr w:rsidR="002F537E" w:rsidRPr="000907A8" w14:paraId="3D4CF63E" w14:textId="77777777" w:rsidTr="00846CDA">
        <w:trPr>
          <w:trHeight w:val="227"/>
        </w:trPr>
        <w:tc>
          <w:tcPr>
            <w:tcW w:w="4962" w:type="dxa"/>
          </w:tcPr>
          <w:p w14:paraId="01DA293F" w14:textId="6D6C2B48" w:rsidR="002F537E" w:rsidRPr="00ED7A26" w:rsidRDefault="002F537E" w:rsidP="00C825D6">
            <w:pPr>
              <w:pStyle w:val="BodyText2"/>
              <w:numPr>
                <w:ilvl w:val="0"/>
                <w:numId w:val="21"/>
              </w:numPr>
              <w:spacing w:before="60"/>
              <w:ind w:left="425" w:hanging="425"/>
              <w:rPr>
                <w:sz w:val="16"/>
              </w:rPr>
            </w:pPr>
            <w:r w:rsidRPr="002E2B1B">
              <w:rPr>
                <w:sz w:val="16"/>
              </w:rPr>
              <w:t>Ein Mitglied des Verwaltungsrates darf nicht mehr als die folgende Anzahl weitere Mandate halten:</w:t>
            </w:r>
          </w:p>
        </w:tc>
        <w:tc>
          <w:tcPr>
            <w:tcW w:w="596" w:type="dxa"/>
            <w:vMerge w:val="restart"/>
          </w:tcPr>
          <w:p w14:paraId="296CF98E" w14:textId="77777777" w:rsidR="002F537E" w:rsidRPr="002E2B1B" w:rsidRDefault="002F537E" w:rsidP="002F537E">
            <w:pPr>
              <w:pStyle w:val="BodyText2"/>
              <w:ind w:left="425" w:hanging="425"/>
              <w:rPr>
                <w:sz w:val="16"/>
              </w:rPr>
            </w:pPr>
          </w:p>
        </w:tc>
        <w:tc>
          <w:tcPr>
            <w:tcW w:w="5074" w:type="dxa"/>
          </w:tcPr>
          <w:p w14:paraId="052A27FE" w14:textId="0BFAB7AA" w:rsidR="002F537E" w:rsidRPr="00D65001" w:rsidRDefault="002F537E" w:rsidP="00C825D6">
            <w:pPr>
              <w:pStyle w:val="BodyText2"/>
              <w:numPr>
                <w:ilvl w:val="0"/>
                <w:numId w:val="51"/>
              </w:numPr>
              <w:spacing w:before="60"/>
              <w:ind w:left="425" w:hanging="425"/>
              <w:rPr>
                <w:sz w:val="16"/>
                <w:lang w:val="en-US"/>
              </w:rPr>
            </w:pPr>
            <w:proofErr w:type="gramStart"/>
            <w:r w:rsidRPr="00B129A2">
              <w:rPr>
                <w:sz w:val="16"/>
                <w:lang w:val="en-US"/>
              </w:rPr>
              <w:t>A members</w:t>
            </w:r>
            <w:proofErr w:type="gramEnd"/>
            <w:r w:rsidRPr="00B129A2">
              <w:rPr>
                <w:sz w:val="16"/>
                <w:lang w:val="en-US"/>
              </w:rPr>
              <w:t xml:space="preserve"> of the Board of Directors shall hold no more than the following numbers of further mandates:</w:t>
            </w:r>
          </w:p>
        </w:tc>
      </w:tr>
      <w:tr w:rsidR="002F537E" w:rsidRPr="000907A8" w14:paraId="277E890C" w14:textId="77777777" w:rsidTr="00846CDA">
        <w:trPr>
          <w:trHeight w:val="227"/>
        </w:trPr>
        <w:tc>
          <w:tcPr>
            <w:tcW w:w="4962" w:type="dxa"/>
          </w:tcPr>
          <w:p w14:paraId="4EB74116" w14:textId="106FA373" w:rsidR="002F537E" w:rsidRPr="00ED7A26" w:rsidRDefault="002F537E" w:rsidP="00C825D6">
            <w:pPr>
              <w:pStyle w:val="BodyText2"/>
              <w:numPr>
                <w:ilvl w:val="1"/>
                <w:numId w:val="21"/>
              </w:numPr>
              <w:spacing w:before="60"/>
              <w:ind w:left="913" w:hanging="357"/>
              <w:rPr>
                <w:sz w:val="16"/>
              </w:rPr>
            </w:pPr>
            <w:r w:rsidRPr="002E2B1B">
              <w:rPr>
                <w:sz w:val="16"/>
              </w:rPr>
              <w:t xml:space="preserve">bis zu </w:t>
            </w:r>
            <w:r w:rsidRPr="00896C23">
              <w:rPr>
                <w:sz w:val="16"/>
              </w:rPr>
              <w:t>vier</w:t>
            </w:r>
            <w:r w:rsidRPr="002E2B1B">
              <w:rPr>
                <w:sz w:val="16"/>
              </w:rPr>
              <w:t xml:space="preserve"> Mandate in börsenkotierten Unternehmen;</w:t>
            </w:r>
            <w:r w:rsidR="000D0F0B">
              <w:rPr>
                <w:sz w:val="16"/>
              </w:rPr>
              <w:t xml:space="preserve"> und</w:t>
            </w:r>
          </w:p>
        </w:tc>
        <w:tc>
          <w:tcPr>
            <w:tcW w:w="596" w:type="dxa"/>
            <w:vMerge/>
          </w:tcPr>
          <w:p w14:paraId="6748CE7B" w14:textId="77777777" w:rsidR="002F537E" w:rsidRPr="002E2B1B" w:rsidRDefault="002F537E" w:rsidP="002F537E">
            <w:pPr>
              <w:pStyle w:val="BodyText2"/>
              <w:ind w:left="913" w:hanging="357"/>
              <w:rPr>
                <w:sz w:val="16"/>
              </w:rPr>
            </w:pPr>
          </w:p>
        </w:tc>
        <w:tc>
          <w:tcPr>
            <w:tcW w:w="5074" w:type="dxa"/>
          </w:tcPr>
          <w:p w14:paraId="6F2632FA" w14:textId="2B0C3BC0" w:rsidR="002F537E" w:rsidRPr="00D65001" w:rsidRDefault="002F537E" w:rsidP="00C825D6">
            <w:pPr>
              <w:pStyle w:val="BodyText2"/>
              <w:numPr>
                <w:ilvl w:val="1"/>
                <w:numId w:val="51"/>
              </w:numPr>
              <w:spacing w:before="60"/>
              <w:ind w:left="913" w:hanging="357"/>
              <w:rPr>
                <w:sz w:val="16"/>
                <w:lang w:val="en-US"/>
              </w:rPr>
            </w:pPr>
            <w:r w:rsidRPr="00B129A2">
              <w:rPr>
                <w:sz w:val="16"/>
                <w:lang w:val="en-US"/>
              </w:rPr>
              <w:t>up to four mandates in listed firms;</w:t>
            </w:r>
            <w:r w:rsidR="000D0F0B">
              <w:rPr>
                <w:sz w:val="16"/>
                <w:lang w:val="en-US"/>
              </w:rPr>
              <w:t xml:space="preserve"> and</w:t>
            </w:r>
          </w:p>
        </w:tc>
      </w:tr>
      <w:tr w:rsidR="002F537E" w:rsidRPr="000907A8" w14:paraId="3F7E48B9" w14:textId="77777777" w:rsidTr="00846CDA">
        <w:trPr>
          <w:trHeight w:val="227"/>
        </w:trPr>
        <w:tc>
          <w:tcPr>
            <w:tcW w:w="4962" w:type="dxa"/>
          </w:tcPr>
          <w:p w14:paraId="3C5C5E50" w14:textId="31DCA4BB" w:rsidR="002F537E" w:rsidRPr="00ED7A26" w:rsidRDefault="002F537E" w:rsidP="00C825D6">
            <w:pPr>
              <w:pStyle w:val="BodyText2"/>
              <w:numPr>
                <w:ilvl w:val="1"/>
                <w:numId w:val="21"/>
              </w:numPr>
              <w:spacing w:before="60"/>
              <w:ind w:left="913" w:hanging="357"/>
              <w:rPr>
                <w:sz w:val="16"/>
              </w:rPr>
            </w:pPr>
            <w:r w:rsidRPr="002E2B1B">
              <w:rPr>
                <w:sz w:val="16"/>
              </w:rPr>
              <w:t xml:space="preserve">bis zu </w:t>
            </w:r>
            <w:r w:rsidRPr="00896C23">
              <w:rPr>
                <w:sz w:val="16"/>
              </w:rPr>
              <w:t>zehn</w:t>
            </w:r>
            <w:r w:rsidRPr="002E2B1B">
              <w:rPr>
                <w:sz w:val="16"/>
              </w:rPr>
              <w:t xml:space="preserve"> Mandate in nichtkotierten Unternehmen</w:t>
            </w:r>
            <w:r w:rsidR="000D0F0B">
              <w:rPr>
                <w:sz w:val="16"/>
              </w:rPr>
              <w:t>.</w:t>
            </w:r>
          </w:p>
        </w:tc>
        <w:tc>
          <w:tcPr>
            <w:tcW w:w="596" w:type="dxa"/>
            <w:vMerge/>
          </w:tcPr>
          <w:p w14:paraId="3E9AEB72" w14:textId="77777777" w:rsidR="002F537E" w:rsidRPr="002E2B1B" w:rsidRDefault="002F537E" w:rsidP="002F537E">
            <w:pPr>
              <w:pStyle w:val="BodyText2"/>
              <w:ind w:left="913" w:hanging="357"/>
              <w:rPr>
                <w:sz w:val="16"/>
              </w:rPr>
            </w:pPr>
          </w:p>
        </w:tc>
        <w:tc>
          <w:tcPr>
            <w:tcW w:w="5074" w:type="dxa"/>
          </w:tcPr>
          <w:p w14:paraId="584739B9" w14:textId="29393154" w:rsidR="002F537E" w:rsidRPr="00D65001" w:rsidRDefault="002F537E" w:rsidP="00C825D6">
            <w:pPr>
              <w:pStyle w:val="BodyText2"/>
              <w:numPr>
                <w:ilvl w:val="1"/>
                <w:numId w:val="51"/>
              </w:numPr>
              <w:spacing w:before="60"/>
              <w:ind w:left="913" w:hanging="357"/>
              <w:rPr>
                <w:sz w:val="16"/>
                <w:lang w:val="en-US"/>
              </w:rPr>
            </w:pPr>
            <w:r w:rsidRPr="00B129A2">
              <w:rPr>
                <w:sz w:val="16"/>
                <w:lang w:val="en-US"/>
              </w:rPr>
              <w:t xml:space="preserve">up to </w:t>
            </w:r>
            <w:r w:rsidR="000602DF">
              <w:rPr>
                <w:sz w:val="16"/>
                <w:lang w:val="en-US"/>
              </w:rPr>
              <w:t>ten</w:t>
            </w:r>
            <w:r w:rsidRPr="00B129A2">
              <w:rPr>
                <w:sz w:val="16"/>
                <w:lang w:val="en-US"/>
              </w:rPr>
              <w:t xml:space="preserve"> mandates in </w:t>
            </w:r>
            <w:r w:rsidR="00054BAC">
              <w:rPr>
                <w:sz w:val="16"/>
                <w:lang w:val="en-US"/>
              </w:rPr>
              <w:t>non-</w:t>
            </w:r>
            <w:r w:rsidRPr="00B129A2">
              <w:rPr>
                <w:sz w:val="16"/>
                <w:lang w:val="en-US"/>
              </w:rPr>
              <w:t>listed firms</w:t>
            </w:r>
            <w:r w:rsidR="000D0F0B">
              <w:rPr>
                <w:sz w:val="16"/>
                <w:lang w:val="en-US"/>
              </w:rPr>
              <w:t>.</w:t>
            </w:r>
          </w:p>
        </w:tc>
      </w:tr>
      <w:tr w:rsidR="002F537E" w:rsidRPr="000907A8" w14:paraId="289186D1" w14:textId="77777777" w:rsidTr="00846CDA">
        <w:trPr>
          <w:trHeight w:val="227"/>
        </w:trPr>
        <w:tc>
          <w:tcPr>
            <w:tcW w:w="4962" w:type="dxa"/>
          </w:tcPr>
          <w:p w14:paraId="6AB8A4DD" w14:textId="4286AD0B" w:rsidR="002F537E" w:rsidRPr="000D0F0B" w:rsidRDefault="002F537E" w:rsidP="000D0F0B">
            <w:pPr>
              <w:pStyle w:val="BodyText2"/>
              <w:spacing w:before="60"/>
              <w:ind w:left="913"/>
              <w:rPr>
                <w:sz w:val="16"/>
                <w:lang w:val="en-US"/>
              </w:rPr>
            </w:pPr>
          </w:p>
        </w:tc>
        <w:tc>
          <w:tcPr>
            <w:tcW w:w="596" w:type="dxa"/>
            <w:vMerge/>
          </w:tcPr>
          <w:p w14:paraId="4899B350" w14:textId="77777777" w:rsidR="002F537E" w:rsidRPr="000D0F0B" w:rsidRDefault="002F537E" w:rsidP="002F537E">
            <w:pPr>
              <w:pStyle w:val="BodyText2"/>
              <w:ind w:left="913" w:hanging="357"/>
              <w:rPr>
                <w:sz w:val="16"/>
                <w:lang w:val="en-US"/>
              </w:rPr>
            </w:pPr>
          </w:p>
        </w:tc>
        <w:tc>
          <w:tcPr>
            <w:tcW w:w="5074" w:type="dxa"/>
          </w:tcPr>
          <w:p w14:paraId="4B80D5A9" w14:textId="43A953BD" w:rsidR="002F537E" w:rsidRPr="00D65001" w:rsidRDefault="002F537E" w:rsidP="000D0F0B">
            <w:pPr>
              <w:pStyle w:val="BodyText2"/>
              <w:spacing w:before="60"/>
              <w:ind w:left="913"/>
              <w:rPr>
                <w:sz w:val="16"/>
                <w:lang w:val="en-US"/>
              </w:rPr>
            </w:pPr>
          </w:p>
        </w:tc>
      </w:tr>
      <w:tr w:rsidR="002F537E" w:rsidRPr="000907A8" w14:paraId="10401792" w14:textId="77777777" w:rsidTr="00846CDA">
        <w:trPr>
          <w:trHeight w:val="207"/>
        </w:trPr>
        <w:tc>
          <w:tcPr>
            <w:tcW w:w="4962" w:type="dxa"/>
          </w:tcPr>
          <w:p w14:paraId="71F7C411" w14:textId="40CBC06B" w:rsidR="002F537E" w:rsidRPr="00D65001" w:rsidRDefault="002F537E" w:rsidP="00C825D6">
            <w:pPr>
              <w:pStyle w:val="BodyText2"/>
              <w:numPr>
                <w:ilvl w:val="0"/>
                <w:numId w:val="21"/>
              </w:numPr>
              <w:spacing w:before="60"/>
              <w:ind w:left="425" w:hanging="425"/>
              <w:rPr>
                <w:sz w:val="16"/>
              </w:rPr>
            </w:pPr>
            <w:r w:rsidRPr="002E2B1B">
              <w:rPr>
                <w:sz w:val="16"/>
              </w:rPr>
              <w:t>Ein Mitglied</w:t>
            </w:r>
            <w:r>
              <w:rPr>
                <w:sz w:val="16"/>
              </w:rPr>
              <w:t xml:space="preserve"> </w:t>
            </w:r>
            <w:r w:rsidRPr="002E2B1B">
              <w:rPr>
                <w:sz w:val="16"/>
              </w:rPr>
              <w:t>de</w:t>
            </w:r>
            <w:r>
              <w:rPr>
                <w:sz w:val="16"/>
              </w:rPr>
              <w:t xml:space="preserve">r Geschäftsleitung </w:t>
            </w:r>
            <w:r w:rsidRPr="002E2B1B">
              <w:rPr>
                <w:sz w:val="16"/>
              </w:rPr>
              <w:t>darf nicht mehr als</w:t>
            </w:r>
            <w:r w:rsidR="007348BC">
              <w:rPr>
                <w:sz w:val="16"/>
              </w:rPr>
              <w:t xml:space="preserve"> </w:t>
            </w:r>
            <w:r w:rsidR="00DC7D1C">
              <w:rPr>
                <w:sz w:val="16"/>
              </w:rPr>
              <w:t>die folgende Anzahl weitere Mandate halten</w:t>
            </w:r>
            <w:r w:rsidRPr="002E2B1B">
              <w:rPr>
                <w:sz w:val="16"/>
              </w:rPr>
              <w:t>:</w:t>
            </w:r>
          </w:p>
        </w:tc>
        <w:tc>
          <w:tcPr>
            <w:tcW w:w="596" w:type="dxa"/>
            <w:vMerge/>
          </w:tcPr>
          <w:p w14:paraId="4929B2D1" w14:textId="77777777" w:rsidR="002F537E" w:rsidRPr="002E2B1B" w:rsidRDefault="002F537E" w:rsidP="002F537E">
            <w:pPr>
              <w:pStyle w:val="BodyText2"/>
              <w:ind w:left="425" w:hanging="425"/>
              <w:rPr>
                <w:sz w:val="16"/>
              </w:rPr>
            </w:pPr>
          </w:p>
        </w:tc>
        <w:tc>
          <w:tcPr>
            <w:tcW w:w="5074" w:type="dxa"/>
          </w:tcPr>
          <w:p w14:paraId="5FBDD277" w14:textId="00EC2124" w:rsidR="002F537E" w:rsidRPr="00D65001" w:rsidRDefault="002F537E" w:rsidP="00C825D6">
            <w:pPr>
              <w:pStyle w:val="BodyText2"/>
              <w:numPr>
                <w:ilvl w:val="0"/>
                <w:numId w:val="51"/>
              </w:numPr>
              <w:spacing w:before="60"/>
              <w:ind w:left="425" w:hanging="425"/>
              <w:rPr>
                <w:sz w:val="16"/>
                <w:lang w:val="en-US"/>
              </w:rPr>
            </w:pPr>
            <w:r w:rsidRPr="00B129A2">
              <w:rPr>
                <w:sz w:val="16"/>
                <w:lang w:val="en-US"/>
              </w:rPr>
              <w:t xml:space="preserve">A member of the </w:t>
            </w:r>
            <w:proofErr w:type="gramStart"/>
            <w:r>
              <w:rPr>
                <w:sz w:val="16"/>
                <w:lang w:val="en-US"/>
              </w:rPr>
              <w:t xml:space="preserve">Group Executive </w:t>
            </w:r>
            <w:r w:rsidRPr="00B129A2">
              <w:rPr>
                <w:sz w:val="16"/>
                <w:lang w:val="en-US"/>
              </w:rPr>
              <w:t>Board of Directors</w:t>
            </w:r>
            <w:proofErr w:type="gramEnd"/>
            <w:r w:rsidRPr="00B129A2">
              <w:rPr>
                <w:sz w:val="16"/>
                <w:lang w:val="en-US"/>
              </w:rPr>
              <w:t xml:space="preserve"> shall hold no more than the following numbers of further mandates:</w:t>
            </w:r>
          </w:p>
        </w:tc>
      </w:tr>
      <w:tr w:rsidR="002F537E" w:rsidRPr="000907A8" w14:paraId="7CF79CED" w14:textId="77777777" w:rsidTr="00846CDA">
        <w:trPr>
          <w:trHeight w:val="204"/>
        </w:trPr>
        <w:tc>
          <w:tcPr>
            <w:tcW w:w="4962" w:type="dxa"/>
          </w:tcPr>
          <w:p w14:paraId="7FB2B691" w14:textId="678D1016" w:rsidR="002F537E" w:rsidRPr="00D65001" w:rsidRDefault="002F537E" w:rsidP="00C825D6">
            <w:pPr>
              <w:pStyle w:val="BodyText2"/>
              <w:numPr>
                <w:ilvl w:val="1"/>
                <w:numId w:val="21"/>
              </w:numPr>
              <w:spacing w:before="60"/>
              <w:ind w:left="913" w:hanging="357"/>
              <w:rPr>
                <w:sz w:val="16"/>
              </w:rPr>
            </w:pPr>
            <w:r>
              <w:rPr>
                <w:sz w:val="16"/>
              </w:rPr>
              <w:t>ein Mandat</w:t>
            </w:r>
            <w:r w:rsidRPr="002E2B1B">
              <w:rPr>
                <w:sz w:val="16"/>
              </w:rPr>
              <w:t xml:space="preserve"> in börsenkotierten Unternehmen;</w:t>
            </w:r>
            <w:r w:rsidR="00ED1E00">
              <w:rPr>
                <w:sz w:val="16"/>
              </w:rPr>
              <w:t xml:space="preserve"> und</w:t>
            </w:r>
          </w:p>
        </w:tc>
        <w:tc>
          <w:tcPr>
            <w:tcW w:w="596" w:type="dxa"/>
            <w:vMerge/>
          </w:tcPr>
          <w:p w14:paraId="0612C972" w14:textId="77777777" w:rsidR="002F537E" w:rsidRPr="002E2B1B" w:rsidRDefault="002F537E" w:rsidP="002F537E">
            <w:pPr>
              <w:pStyle w:val="BodyText2"/>
              <w:ind w:left="913" w:hanging="357"/>
              <w:rPr>
                <w:sz w:val="16"/>
              </w:rPr>
            </w:pPr>
          </w:p>
        </w:tc>
        <w:tc>
          <w:tcPr>
            <w:tcW w:w="5074" w:type="dxa"/>
          </w:tcPr>
          <w:p w14:paraId="19C6DC21" w14:textId="346ED4C7" w:rsidR="002F537E" w:rsidRPr="00B129A2" w:rsidRDefault="002F537E" w:rsidP="00C825D6">
            <w:pPr>
              <w:pStyle w:val="BodyText2"/>
              <w:numPr>
                <w:ilvl w:val="1"/>
                <w:numId w:val="51"/>
              </w:numPr>
              <w:spacing w:before="60"/>
              <w:ind w:left="913" w:hanging="357"/>
              <w:rPr>
                <w:sz w:val="16"/>
                <w:lang w:val="en-US"/>
              </w:rPr>
            </w:pPr>
            <w:r>
              <w:rPr>
                <w:sz w:val="16"/>
                <w:lang w:val="en-US"/>
              </w:rPr>
              <w:t>one mandate</w:t>
            </w:r>
            <w:r w:rsidRPr="00B129A2">
              <w:rPr>
                <w:sz w:val="16"/>
                <w:lang w:val="en-US"/>
              </w:rPr>
              <w:t xml:space="preserve"> in listed firms;</w:t>
            </w:r>
            <w:r w:rsidR="00FF4367">
              <w:rPr>
                <w:sz w:val="16"/>
                <w:lang w:val="en-US"/>
              </w:rPr>
              <w:t xml:space="preserve"> and</w:t>
            </w:r>
          </w:p>
        </w:tc>
      </w:tr>
      <w:tr w:rsidR="002F537E" w:rsidRPr="000907A8" w14:paraId="38C01359" w14:textId="77777777" w:rsidTr="00846CDA">
        <w:trPr>
          <w:trHeight w:val="204"/>
        </w:trPr>
        <w:tc>
          <w:tcPr>
            <w:tcW w:w="4962" w:type="dxa"/>
          </w:tcPr>
          <w:p w14:paraId="424C201E" w14:textId="55FFD9FE" w:rsidR="002F537E" w:rsidRPr="00D65001" w:rsidRDefault="002F537E" w:rsidP="00C825D6">
            <w:pPr>
              <w:pStyle w:val="BodyText2"/>
              <w:numPr>
                <w:ilvl w:val="1"/>
                <w:numId w:val="21"/>
              </w:numPr>
              <w:spacing w:before="60"/>
              <w:ind w:left="913" w:hanging="357"/>
              <w:rPr>
                <w:sz w:val="16"/>
              </w:rPr>
            </w:pPr>
            <w:r w:rsidRPr="002E2B1B">
              <w:rPr>
                <w:sz w:val="16"/>
              </w:rPr>
              <w:t xml:space="preserve">bis zu </w:t>
            </w:r>
            <w:r>
              <w:rPr>
                <w:sz w:val="16"/>
              </w:rPr>
              <w:t>fünf</w:t>
            </w:r>
            <w:r w:rsidRPr="002E2B1B">
              <w:rPr>
                <w:sz w:val="16"/>
              </w:rPr>
              <w:t xml:space="preserve"> Mandate in nichtkotierten Unternehmen</w:t>
            </w:r>
            <w:r w:rsidR="00ED1E00">
              <w:rPr>
                <w:sz w:val="16"/>
              </w:rPr>
              <w:t>.</w:t>
            </w:r>
          </w:p>
        </w:tc>
        <w:tc>
          <w:tcPr>
            <w:tcW w:w="596" w:type="dxa"/>
            <w:vMerge/>
          </w:tcPr>
          <w:p w14:paraId="7D78E7A6" w14:textId="77777777" w:rsidR="002F537E" w:rsidRPr="002E2B1B" w:rsidRDefault="002F537E" w:rsidP="002F537E">
            <w:pPr>
              <w:pStyle w:val="BodyText2"/>
              <w:ind w:left="913" w:hanging="357"/>
              <w:rPr>
                <w:sz w:val="16"/>
              </w:rPr>
            </w:pPr>
          </w:p>
        </w:tc>
        <w:tc>
          <w:tcPr>
            <w:tcW w:w="5074" w:type="dxa"/>
          </w:tcPr>
          <w:p w14:paraId="225BD9D2" w14:textId="535ABA51" w:rsidR="002F537E" w:rsidRPr="00B129A2" w:rsidRDefault="002F537E" w:rsidP="00C825D6">
            <w:pPr>
              <w:pStyle w:val="BodyText2"/>
              <w:numPr>
                <w:ilvl w:val="1"/>
                <w:numId w:val="51"/>
              </w:numPr>
              <w:spacing w:before="60"/>
              <w:ind w:left="913" w:hanging="357"/>
              <w:rPr>
                <w:sz w:val="16"/>
                <w:lang w:val="en-US"/>
              </w:rPr>
            </w:pPr>
            <w:r w:rsidRPr="00B129A2">
              <w:rPr>
                <w:sz w:val="16"/>
                <w:lang w:val="en-US"/>
              </w:rPr>
              <w:t xml:space="preserve">up to </w:t>
            </w:r>
            <w:r>
              <w:rPr>
                <w:sz w:val="16"/>
                <w:lang w:val="en-US"/>
              </w:rPr>
              <w:t>five</w:t>
            </w:r>
            <w:r w:rsidRPr="00B129A2">
              <w:rPr>
                <w:sz w:val="16"/>
                <w:lang w:val="en-US"/>
              </w:rPr>
              <w:t xml:space="preserve"> mandates in non-listed firms</w:t>
            </w:r>
            <w:r w:rsidR="00FF4367">
              <w:rPr>
                <w:sz w:val="16"/>
                <w:lang w:val="en-US"/>
              </w:rPr>
              <w:t>.</w:t>
            </w:r>
          </w:p>
        </w:tc>
      </w:tr>
      <w:tr w:rsidR="002F537E" w:rsidRPr="000907A8" w14:paraId="7BB46E39" w14:textId="77777777" w:rsidTr="00846CDA">
        <w:trPr>
          <w:trHeight w:val="204"/>
        </w:trPr>
        <w:tc>
          <w:tcPr>
            <w:tcW w:w="4962" w:type="dxa"/>
          </w:tcPr>
          <w:p w14:paraId="3BB310CE" w14:textId="5AAA957C" w:rsidR="002F537E" w:rsidRPr="00FF4367" w:rsidRDefault="002F537E" w:rsidP="00F635D1">
            <w:pPr>
              <w:pStyle w:val="BodyText2"/>
              <w:spacing w:before="60"/>
              <w:ind w:left="913"/>
              <w:rPr>
                <w:sz w:val="16"/>
                <w:lang w:val="en-US"/>
              </w:rPr>
            </w:pPr>
          </w:p>
        </w:tc>
        <w:tc>
          <w:tcPr>
            <w:tcW w:w="596" w:type="dxa"/>
            <w:vMerge/>
          </w:tcPr>
          <w:p w14:paraId="5F986FA6" w14:textId="77777777" w:rsidR="002F537E" w:rsidRPr="00FF4367" w:rsidRDefault="002F537E" w:rsidP="002F537E">
            <w:pPr>
              <w:pStyle w:val="BodyText2"/>
              <w:ind w:left="913" w:hanging="357"/>
              <w:rPr>
                <w:sz w:val="16"/>
                <w:lang w:val="en-US"/>
              </w:rPr>
            </w:pPr>
          </w:p>
        </w:tc>
        <w:tc>
          <w:tcPr>
            <w:tcW w:w="5074" w:type="dxa"/>
          </w:tcPr>
          <w:p w14:paraId="760011B6" w14:textId="2BD83832" w:rsidR="002F537E" w:rsidRPr="00B129A2" w:rsidRDefault="002F537E" w:rsidP="00DC247A">
            <w:pPr>
              <w:pStyle w:val="BodyText2"/>
              <w:spacing w:before="60"/>
              <w:rPr>
                <w:sz w:val="16"/>
                <w:lang w:val="en-US"/>
              </w:rPr>
            </w:pPr>
          </w:p>
        </w:tc>
      </w:tr>
      <w:tr w:rsidR="002F537E" w:rsidRPr="000907A8" w14:paraId="06BB4B94" w14:textId="77777777" w:rsidTr="00846CDA">
        <w:trPr>
          <w:trHeight w:val="776"/>
        </w:trPr>
        <w:tc>
          <w:tcPr>
            <w:tcW w:w="4962" w:type="dxa"/>
          </w:tcPr>
          <w:p w14:paraId="05D4E494" w14:textId="505293E2" w:rsidR="002F537E" w:rsidRPr="002E2B1B" w:rsidRDefault="002F537E" w:rsidP="00C825D6">
            <w:pPr>
              <w:pStyle w:val="BodyText2"/>
              <w:numPr>
                <w:ilvl w:val="0"/>
                <w:numId w:val="21"/>
              </w:numPr>
              <w:spacing w:before="60"/>
              <w:ind w:left="425" w:hanging="425"/>
              <w:rPr>
                <w:sz w:val="16"/>
              </w:rPr>
            </w:pPr>
            <w:r w:rsidRPr="002E2B1B">
              <w:rPr>
                <w:sz w:val="16"/>
              </w:rPr>
              <w:t xml:space="preserve">Mandate, die in verschiedenen Rechtseinheiten ein und desselben Konzerns oder auf Anordnung der Gesellschaft oder einer anderen Rechtseinheit gemäss Absatz 1 </w:t>
            </w:r>
            <w:r>
              <w:rPr>
                <w:sz w:val="16"/>
              </w:rPr>
              <w:t xml:space="preserve">oder 2 </w:t>
            </w:r>
            <w:r w:rsidRPr="002E2B1B">
              <w:rPr>
                <w:sz w:val="16"/>
              </w:rPr>
              <w:t>oben gehalten werden (einschliesslich in Vorsorgeeinrichtungen und Gemeinschaftsunternehmen), zählen nicht als separate Mandate. Eine kurzfristige Überschreitung der in diesem Artikel geregelten Begrenzungen ist zulässig.</w:t>
            </w:r>
          </w:p>
        </w:tc>
        <w:tc>
          <w:tcPr>
            <w:tcW w:w="596" w:type="dxa"/>
            <w:vMerge/>
          </w:tcPr>
          <w:p w14:paraId="5351BF81" w14:textId="77777777" w:rsidR="002F537E" w:rsidRPr="002E2B1B" w:rsidRDefault="002F537E" w:rsidP="002F537E">
            <w:pPr>
              <w:pStyle w:val="BodyText2"/>
              <w:ind w:left="425" w:hanging="425"/>
              <w:rPr>
                <w:sz w:val="16"/>
              </w:rPr>
            </w:pPr>
          </w:p>
        </w:tc>
        <w:tc>
          <w:tcPr>
            <w:tcW w:w="5074" w:type="dxa"/>
          </w:tcPr>
          <w:p w14:paraId="022CAB7B" w14:textId="18A77B14" w:rsidR="002F537E" w:rsidRPr="00B129A2" w:rsidRDefault="002F537E" w:rsidP="00C825D6">
            <w:pPr>
              <w:pStyle w:val="BodyText2"/>
              <w:numPr>
                <w:ilvl w:val="0"/>
                <w:numId w:val="51"/>
              </w:numPr>
              <w:spacing w:before="60"/>
              <w:ind w:left="425" w:hanging="425"/>
              <w:rPr>
                <w:sz w:val="16"/>
                <w:lang w:val="en-US"/>
              </w:rPr>
            </w:pPr>
            <w:r w:rsidRPr="00B129A2">
              <w:rPr>
                <w:sz w:val="16"/>
                <w:lang w:val="en-US"/>
              </w:rPr>
              <w:t xml:space="preserve">Mandates held in different legal entities of the same group or by order of the Company or of another legal entity pursuant to paragraph 1 </w:t>
            </w:r>
            <w:r>
              <w:rPr>
                <w:sz w:val="16"/>
                <w:lang w:val="en-US"/>
              </w:rPr>
              <w:t xml:space="preserve">or 2 </w:t>
            </w:r>
            <w:r w:rsidRPr="00B129A2">
              <w:rPr>
                <w:sz w:val="16"/>
                <w:lang w:val="en-US"/>
              </w:rPr>
              <w:t>above (including in pension funds and joint ventures) shall not count as separate mandates. It is admissible to exceed the limitations set forth in this article for a short period of time.</w:t>
            </w:r>
          </w:p>
        </w:tc>
      </w:tr>
      <w:tr w:rsidR="007348BC" w:rsidRPr="000907A8" w14:paraId="52080BB5" w14:textId="77777777" w:rsidTr="00846CDA">
        <w:trPr>
          <w:trHeight w:val="776"/>
        </w:trPr>
        <w:tc>
          <w:tcPr>
            <w:tcW w:w="4962" w:type="dxa"/>
          </w:tcPr>
          <w:p w14:paraId="5A4F2197" w14:textId="17A5F457" w:rsidR="007348BC" w:rsidRPr="002E2B1B" w:rsidRDefault="007348BC" w:rsidP="00C825D6">
            <w:pPr>
              <w:pStyle w:val="BodyText2"/>
              <w:numPr>
                <w:ilvl w:val="0"/>
                <w:numId w:val="21"/>
              </w:numPr>
              <w:spacing w:before="60"/>
              <w:ind w:left="425" w:hanging="425"/>
              <w:rPr>
                <w:sz w:val="16"/>
              </w:rPr>
            </w:pPr>
            <w:r w:rsidRPr="007348BC">
              <w:rPr>
                <w:sz w:val="16"/>
                <w:szCs w:val="16"/>
              </w:rPr>
              <w:t xml:space="preserve">Als </w:t>
            </w:r>
            <w:r w:rsidRPr="007348BC">
              <w:rPr>
                <w:bCs/>
                <w:sz w:val="16"/>
                <w:szCs w:val="16"/>
              </w:rPr>
              <w:t>"Mandate"</w:t>
            </w:r>
            <w:r w:rsidRPr="007348BC">
              <w:rPr>
                <w:sz w:val="16"/>
                <w:szCs w:val="16"/>
              </w:rPr>
              <w:t xml:space="preserve"> gelten Mandate in vergleichbaren Funktionen bei anderen Unternehmen mit gewinnorientiertem wirtschaftlichem Zweck. </w:t>
            </w:r>
          </w:p>
        </w:tc>
        <w:tc>
          <w:tcPr>
            <w:tcW w:w="596" w:type="dxa"/>
            <w:vMerge/>
          </w:tcPr>
          <w:p w14:paraId="28C890DD" w14:textId="77777777" w:rsidR="007348BC" w:rsidRPr="002E2B1B" w:rsidRDefault="007348BC" w:rsidP="007348BC">
            <w:pPr>
              <w:pStyle w:val="BodyText2"/>
              <w:ind w:left="425" w:hanging="425"/>
              <w:rPr>
                <w:sz w:val="16"/>
              </w:rPr>
            </w:pPr>
          </w:p>
        </w:tc>
        <w:tc>
          <w:tcPr>
            <w:tcW w:w="5074" w:type="dxa"/>
          </w:tcPr>
          <w:p w14:paraId="316A31DF" w14:textId="4EA85394" w:rsidR="007348BC" w:rsidRPr="00B129A2" w:rsidRDefault="00236269" w:rsidP="00C825D6">
            <w:pPr>
              <w:pStyle w:val="BodyText2"/>
              <w:numPr>
                <w:ilvl w:val="0"/>
                <w:numId w:val="51"/>
              </w:numPr>
              <w:spacing w:before="60"/>
              <w:ind w:left="425" w:hanging="425"/>
              <w:rPr>
                <w:sz w:val="16"/>
                <w:lang w:val="en-US"/>
              </w:rPr>
            </w:pPr>
            <w:r>
              <w:rPr>
                <w:sz w:val="16"/>
                <w:lang w:val="en-US"/>
              </w:rPr>
              <w:t>The term "</w:t>
            </w:r>
            <w:r w:rsidR="005B3383" w:rsidRPr="005B3383">
              <w:rPr>
                <w:sz w:val="16"/>
                <w:lang w:val="en-US"/>
              </w:rPr>
              <w:t>Mandates</w:t>
            </w:r>
            <w:r>
              <w:rPr>
                <w:sz w:val="16"/>
                <w:lang w:val="en-US"/>
              </w:rPr>
              <w:t>"</w:t>
            </w:r>
            <w:r w:rsidR="005B3383" w:rsidRPr="005B3383">
              <w:rPr>
                <w:sz w:val="16"/>
                <w:lang w:val="en-US"/>
              </w:rPr>
              <w:t xml:space="preserve"> shall mean </w:t>
            </w:r>
            <w:r>
              <w:rPr>
                <w:sz w:val="16"/>
                <w:lang w:val="en-US"/>
              </w:rPr>
              <w:t>positions</w:t>
            </w:r>
            <w:r w:rsidR="005B3383" w:rsidRPr="005B3383">
              <w:rPr>
                <w:sz w:val="16"/>
                <w:lang w:val="en-US"/>
              </w:rPr>
              <w:t xml:space="preserve"> in comparable functions at other enterprises with a for-profit economic purpose. </w:t>
            </w:r>
          </w:p>
        </w:tc>
      </w:tr>
      <w:tr w:rsidR="007348BC" w:rsidRPr="000907A8" w14:paraId="0678629D" w14:textId="77777777" w:rsidTr="00846CDA">
        <w:tc>
          <w:tcPr>
            <w:tcW w:w="4962" w:type="dxa"/>
          </w:tcPr>
          <w:p w14:paraId="4C8F807D" w14:textId="77777777" w:rsidR="007348BC" w:rsidRPr="00C45063" w:rsidRDefault="007348BC" w:rsidP="007348BC">
            <w:pPr>
              <w:pStyle w:val="BodyText2"/>
              <w:ind w:left="340"/>
              <w:jc w:val="center"/>
              <w:rPr>
                <w:b/>
                <w:sz w:val="16"/>
                <w:lang w:val="en-US"/>
              </w:rPr>
            </w:pPr>
          </w:p>
          <w:p w14:paraId="38411EB1" w14:textId="3EC04D99" w:rsidR="007348BC" w:rsidRPr="0084172B" w:rsidRDefault="007348BC" w:rsidP="007348BC">
            <w:pPr>
              <w:pStyle w:val="BodyText2"/>
              <w:jc w:val="center"/>
              <w:rPr>
                <w:b/>
                <w:sz w:val="16"/>
              </w:rPr>
            </w:pPr>
            <w:r w:rsidRPr="0084172B">
              <w:rPr>
                <w:b/>
                <w:sz w:val="16"/>
              </w:rPr>
              <w:t>Art. 29</w:t>
            </w:r>
          </w:p>
          <w:p w14:paraId="354339A1" w14:textId="77777777" w:rsidR="007348BC" w:rsidRPr="0084172B" w:rsidRDefault="007348BC" w:rsidP="007348BC">
            <w:pPr>
              <w:pStyle w:val="BodyText2"/>
              <w:spacing w:after="240"/>
              <w:jc w:val="center"/>
              <w:rPr>
                <w:b/>
                <w:sz w:val="16"/>
              </w:rPr>
            </w:pPr>
            <w:r w:rsidRPr="0084172B">
              <w:rPr>
                <w:b/>
                <w:sz w:val="16"/>
              </w:rPr>
              <w:t xml:space="preserve">Vereinbarungen mit der Geschäftsleistung und dem Verwaltungsrat </w:t>
            </w:r>
          </w:p>
        </w:tc>
        <w:tc>
          <w:tcPr>
            <w:tcW w:w="596" w:type="dxa"/>
          </w:tcPr>
          <w:p w14:paraId="6F069A58" w14:textId="77777777" w:rsidR="007348BC" w:rsidRPr="0084172B" w:rsidRDefault="007348BC" w:rsidP="007348BC">
            <w:pPr>
              <w:pStyle w:val="BodyText2"/>
              <w:jc w:val="center"/>
              <w:rPr>
                <w:b/>
                <w:sz w:val="16"/>
              </w:rPr>
            </w:pPr>
          </w:p>
        </w:tc>
        <w:tc>
          <w:tcPr>
            <w:tcW w:w="5074" w:type="dxa"/>
          </w:tcPr>
          <w:p w14:paraId="6B5C1F65" w14:textId="77777777" w:rsidR="007348BC" w:rsidRPr="0084172B" w:rsidRDefault="007348BC" w:rsidP="007348BC">
            <w:pPr>
              <w:jc w:val="center"/>
              <w:rPr>
                <w:rFonts w:ascii="Verdana" w:hAnsi="Verdana"/>
                <w:b/>
                <w:sz w:val="16"/>
                <w:lang w:val="de-CH"/>
              </w:rPr>
            </w:pPr>
          </w:p>
          <w:p w14:paraId="482D6897" w14:textId="726DB1E2" w:rsidR="007348BC" w:rsidRPr="000907A8" w:rsidRDefault="007348BC" w:rsidP="007348BC">
            <w:pPr>
              <w:jc w:val="center"/>
              <w:rPr>
                <w:rFonts w:ascii="Verdana" w:hAnsi="Verdana"/>
                <w:b/>
                <w:sz w:val="16"/>
                <w:lang w:val="en-US"/>
              </w:rPr>
            </w:pPr>
            <w:r w:rsidRPr="000907A8">
              <w:rPr>
                <w:rFonts w:ascii="Verdana" w:hAnsi="Verdana"/>
                <w:b/>
                <w:sz w:val="16"/>
                <w:lang w:val="en-US"/>
              </w:rPr>
              <w:t xml:space="preserve">Art. </w:t>
            </w:r>
            <w:r>
              <w:rPr>
                <w:rFonts w:ascii="Verdana" w:hAnsi="Verdana"/>
                <w:b/>
                <w:sz w:val="16"/>
                <w:lang w:val="en-US"/>
              </w:rPr>
              <w:t>29</w:t>
            </w:r>
          </w:p>
          <w:p w14:paraId="11124F49" w14:textId="3C8DDBEC" w:rsidR="007348BC" w:rsidRPr="00C45063" w:rsidRDefault="007348BC" w:rsidP="007348BC">
            <w:pPr>
              <w:jc w:val="center"/>
              <w:rPr>
                <w:rFonts w:ascii="Verdana" w:hAnsi="Verdana"/>
                <w:b/>
                <w:sz w:val="16"/>
                <w:lang w:val="en-US"/>
              </w:rPr>
            </w:pPr>
            <w:r>
              <w:rPr>
                <w:rFonts w:ascii="Verdana" w:hAnsi="Verdana"/>
                <w:b/>
                <w:sz w:val="16"/>
                <w:lang w:val="en-US"/>
              </w:rPr>
              <w:t xml:space="preserve">Agreements with </w:t>
            </w:r>
            <w:r w:rsidRPr="00AC55CD">
              <w:rPr>
                <w:rFonts w:ascii="Verdana" w:hAnsi="Verdana"/>
                <w:b/>
                <w:sz w:val="16"/>
                <w:lang w:val="en-US"/>
              </w:rPr>
              <w:t>Group Executive Board</w:t>
            </w:r>
            <w:r>
              <w:rPr>
                <w:rFonts w:ascii="Verdana" w:hAnsi="Verdana"/>
                <w:b/>
                <w:sz w:val="16"/>
                <w:lang w:val="en-US"/>
              </w:rPr>
              <w:t xml:space="preserve"> and the Board of Directors</w:t>
            </w:r>
          </w:p>
        </w:tc>
      </w:tr>
      <w:tr w:rsidR="007348BC" w:rsidRPr="000907A8" w14:paraId="43D21343" w14:textId="77777777" w:rsidTr="00846CDA">
        <w:trPr>
          <w:trHeight w:val="736"/>
        </w:trPr>
        <w:tc>
          <w:tcPr>
            <w:tcW w:w="4962" w:type="dxa"/>
          </w:tcPr>
          <w:p w14:paraId="21DFB603" w14:textId="7459E2DB" w:rsidR="007348BC" w:rsidRPr="003E1241" w:rsidRDefault="007348BC" w:rsidP="00C825D6">
            <w:pPr>
              <w:pStyle w:val="BodyText2"/>
              <w:numPr>
                <w:ilvl w:val="0"/>
                <w:numId w:val="29"/>
              </w:numPr>
              <w:spacing w:before="60"/>
              <w:ind w:left="425" w:hanging="425"/>
              <w:rPr>
                <w:sz w:val="16"/>
              </w:rPr>
            </w:pPr>
            <w:r w:rsidRPr="004E3B2A">
              <w:rPr>
                <w:sz w:val="16"/>
              </w:rPr>
              <w:t xml:space="preserve">Verträge mit den Mitgliedern des Verwaltungsrats, die den Vergütungen der betreffenden Mitglieder zugrunde liegen, und Arbeitsverträge mit den Mitgliedern der Geschäftsleitung können befristet oder unbefristet ausgestaltet sein. </w:t>
            </w:r>
            <w:r w:rsidRPr="00A1421C">
              <w:rPr>
                <w:sz w:val="16"/>
              </w:rPr>
              <w:t xml:space="preserve">Die maximale Dauer der </w:t>
            </w:r>
            <w:r w:rsidRPr="00A1421C">
              <w:rPr>
                <w:sz w:val="16"/>
              </w:rPr>
              <w:lastRenderedPageBreak/>
              <w:t xml:space="preserve">befristeten Verträge beträgt </w:t>
            </w:r>
            <w:r>
              <w:rPr>
                <w:sz w:val="16"/>
              </w:rPr>
              <w:t>ein Jahr</w:t>
            </w:r>
            <w:r w:rsidRPr="00A1421C">
              <w:rPr>
                <w:sz w:val="16"/>
              </w:rPr>
              <w:t xml:space="preserve">. Eine Erneuerung ist zulässig. </w:t>
            </w:r>
            <w:r w:rsidRPr="00BA0AF1">
              <w:rPr>
                <w:sz w:val="16"/>
              </w:rPr>
              <w:t xml:space="preserve">Die Kündigungsfrist bei unbefristeten Verträgen beträgt maximal </w:t>
            </w:r>
            <w:r w:rsidRPr="00ED3367">
              <w:rPr>
                <w:sz w:val="16"/>
              </w:rPr>
              <w:t>12</w:t>
            </w:r>
            <w:r>
              <w:rPr>
                <w:sz w:val="16"/>
              </w:rPr>
              <w:t xml:space="preserve"> Monate</w:t>
            </w:r>
            <w:r w:rsidRPr="00BA0AF1">
              <w:rPr>
                <w:sz w:val="16"/>
              </w:rPr>
              <w:t>.</w:t>
            </w:r>
          </w:p>
        </w:tc>
        <w:tc>
          <w:tcPr>
            <w:tcW w:w="596" w:type="dxa"/>
            <w:vMerge w:val="restart"/>
          </w:tcPr>
          <w:p w14:paraId="1E565414" w14:textId="77777777" w:rsidR="007348BC" w:rsidRPr="00BF4878" w:rsidRDefault="007348BC" w:rsidP="007348BC">
            <w:pPr>
              <w:pStyle w:val="BodyText2"/>
              <w:spacing w:before="60"/>
              <w:ind w:left="425" w:hanging="425"/>
              <w:rPr>
                <w:sz w:val="16"/>
              </w:rPr>
            </w:pPr>
          </w:p>
        </w:tc>
        <w:tc>
          <w:tcPr>
            <w:tcW w:w="5074" w:type="dxa"/>
          </w:tcPr>
          <w:p w14:paraId="6906C575" w14:textId="714817B7" w:rsidR="007348BC" w:rsidRPr="00835146" w:rsidRDefault="007348BC" w:rsidP="00C825D6">
            <w:pPr>
              <w:pStyle w:val="BodyText2"/>
              <w:numPr>
                <w:ilvl w:val="0"/>
                <w:numId w:val="52"/>
              </w:numPr>
              <w:spacing w:before="60"/>
              <w:ind w:left="425" w:hanging="425"/>
              <w:rPr>
                <w:sz w:val="16"/>
                <w:lang w:val="en-US"/>
              </w:rPr>
            </w:pPr>
            <w:r w:rsidRPr="00D95779">
              <w:rPr>
                <w:sz w:val="16"/>
                <w:lang w:val="en-US"/>
              </w:rPr>
              <w:t>Agreements with members of the Board of Directors on which the compensation paid to such members is based, and employment agreements with the members of Group Executive Board may be concluded for a defi</w:t>
            </w:r>
            <w:r w:rsidRPr="00D95779">
              <w:rPr>
                <w:sz w:val="16"/>
                <w:lang w:val="en-US"/>
              </w:rPr>
              <w:lastRenderedPageBreak/>
              <w:t>nite or indefinite term. The maximum term of agreements concluded for a definite term shall be one year. Renewal of such agreements is permitted. The maximum termination notice period for agreements of indefinite term shall be 12 months.</w:t>
            </w:r>
          </w:p>
        </w:tc>
      </w:tr>
      <w:tr w:rsidR="007348BC" w:rsidRPr="000907A8" w14:paraId="70DD9E91" w14:textId="77777777" w:rsidTr="00846CDA">
        <w:trPr>
          <w:trHeight w:val="734"/>
        </w:trPr>
        <w:tc>
          <w:tcPr>
            <w:tcW w:w="4962" w:type="dxa"/>
          </w:tcPr>
          <w:p w14:paraId="195C488E" w14:textId="143C2901" w:rsidR="007348BC" w:rsidRPr="003E1241" w:rsidRDefault="007348BC" w:rsidP="00C825D6">
            <w:pPr>
              <w:pStyle w:val="BodyText2"/>
              <w:numPr>
                <w:ilvl w:val="0"/>
                <w:numId w:val="29"/>
              </w:numPr>
              <w:spacing w:before="60"/>
              <w:ind w:left="425" w:hanging="425"/>
              <w:rPr>
                <w:sz w:val="16"/>
              </w:rPr>
            </w:pPr>
            <w:r w:rsidRPr="00BF4878">
              <w:rPr>
                <w:sz w:val="16"/>
              </w:rPr>
              <w:lastRenderedPageBreak/>
              <w:t xml:space="preserve">Die Gesellschaft kann mit Mitgliedern der Geschäftsleitung </w:t>
            </w:r>
            <w:r w:rsidRPr="00A902ED">
              <w:rPr>
                <w:sz w:val="16"/>
              </w:rPr>
              <w:t xml:space="preserve">entschädigte Konkurrenzverbote für eine Dauer von bis zu </w:t>
            </w:r>
            <w:r>
              <w:rPr>
                <w:sz w:val="16"/>
              </w:rPr>
              <w:t xml:space="preserve">18 Monaten </w:t>
            </w:r>
            <w:r w:rsidRPr="00A902ED">
              <w:rPr>
                <w:sz w:val="16"/>
              </w:rPr>
              <w:t>nach der Beendigung des Arbeitsverhältnisses vereinbaren. Die Entschädigung, die pro Jahr des Konkurrenzverbots zu entrichten ist, beträgt maximal die Summe (i) der letzten jährlichen Grundvergütung des Mitglieds, (ii) des letzt</w:t>
            </w:r>
            <w:r>
              <w:rPr>
                <w:sz w:val="16"/>
              </w:rPr>
              <w:t>jährigen</w:t>
            </w:r>
            <w:r w:rsidRPr="00A902ED">
              <w:rPr>
                <w:sz w:val="16"/>
              </w:rPr>
              <w:t xml:space="preserve"> </w:t>
            </w:r>
            <w:r>
              <w:rPr>
                <w:sz w:val="16"/>
              </w:rPr>
              <w:t>Zielbonus</w:t>
            </w:r>
            <w:r w:rsidRPr="00A902ED">
              <w:rPr>
                <w:sz w:val="16"/>
              </w:rPr>
              <w:t xml:space="preserve"> des Mitglieds, und (iii) der Prämienzahlungen für Kranken- und/oder Zahnversicherung basierend auf der Wahl des Mitglieds zur Zeit der Beendigung des Arbeitsverhältnisses</w:t>
            </w:r>
            <w:r w:rsidR="00F635D1">
              <w:rPr>
                <w:sz w:val="16"/>
              </w:rPr>
              <w:t xml:space="preserve">, keinesfalls aber mehr als ein </w:t>
            </w:r>
            <w:r w:rsidR="00AA2302">
              <w:rPr>
                <w:sz w:val="16"/>
              </w:rPr>
              <w:t xml:space="preserve">Betrag, der </w:t>
            </w:r>
            <w:r w:rsidR="00F635D1">
              <w:rPr>
                <w:sz w:val="16"/>
              </w:rPr>
              <w:t>dem Durchschnitt</w:t>
            </w:r>
            <w:r w:rsidR="00AA2302">
              <w:rPr>
                <w:sz w:val="16"/>
              </w:rPr>
              <w:t xml:space="preserve"> der</w:t>
            </w:r>
            <w:r w:rsidR="00F635D1">
              <w:rPr>
                <w:sz w:val="16"/>
              </w:rPr>
              <w:t xml:space="preserve"> Vergütungen </w:t>
            </w:r>
            <w:r w:rsidR="00AA2302">
              <w:rPr>
                <w:sz w:val="16"/>
              </w:rPr>
              <w:t xml:space="preserve">des betreffenden Mitglieds </w:t>
            </w:r>
            <w:r w:rsidR="00732B92">
              <w:rPr>
                <w:sz w:val="16"/>
              </w:rPr>
              <w:t>in den</w:t>
            </w:r>
            <w:r w:rsidR="00F635D1">
              <w:rPr>
                <w:sz w:val="16"/>
              </w:rPr>
              <w:t xml:space="preserve"> drei </w:t>
            </w:r>
            <w:r w:rsidR="00732B92">
              <w:rPr>
                <w:sz w:val="16"/>
              </w:rPr>
              <w:t xml:space="preserve">vorangehenden </w:t>
            </w:r>
            <w:r w:rsidR="00F635D1">
              <w:rPr>
                <w:sz w:val="16"/>
              </w:rPr>
              <w:t>Geschäftsjahre</w:t>
            </w:r>
            <w:r w:rsidR="00257B65">
              <w:rPr>
                <w:sz w:val="16"/>
              </w:rPr>
              <w:t>n</w:t>
            </w:r>
            <w:r w:rsidR="00F635D1">
              <w:rPr>
                <w:sz w:val="16"/>
              </w:rPr>
              <w:t xml:space="preserve"> </w:t>
            </w:r>
            <w:r w:rsidR="00AA2302">
              <w:rPr>
                <w:sz w:val="16"/>
              </w:rPr>
              <w:t>entspricht</w:t>
            </w:r>
            <w:r w:rsidRPr="00A902ED">
              <w:rPr>
                <w:sz w:val="16"/>
              </w:rPr>
              <w:t>.</w:t>
            </w:r>
            <w:r w:rsidRPr="00BF4878">
              <w:rPr>
                <w:sz w:val="16"/>
              </w:rPr>
              <w:t xml:space="preserve"> </w:t>
            </w:r>
            <w:r>
              <w:rPr>
                <w:sz w:val="16"/>
              </w:rPr>
              <w:t xml:space="preserve">Für den Teil eines Jahres wird die maximale Summe pro </w:t>
            </w:r>
            <w:proofErr w:type="spellStart"/>
            <w:r>
              <w:rPr>
                <w:sz w:val="16"/>
              </w:rPr>
              <w:t>rata</w:t>
            </w:r>
            <w:proofErr w:type="spellEnd"/>
            <w:r>
              <w:rPr>
                <w:sz w:val="16"/>
              </w:rPr>
              <w:t xml:space="preserve"> berechnet.</w:t>
            </w:r>
          </w:p>
        </w:tc>
        <w:tc>
          <w:tcPr>
            <w:tcW w:w="596" w:type="dxa"/>
            <w:vMerge/>
          </w:tcPr>
          <w:p w14:paraId="0458320D" w14:textId="77777777" w:rsidR="007348BC" w:rsidRPr="00BF4878" w:rsidRDefault="007348BC" w:rsidP="007348BC">
            <w:pPr>
              <w:pStyle w:val="BodyText2"/>
              <w:spacing w:before="60"/>
              <w:ind w:left="425" w:hanging="425"/>
              <w:rPr>
                <w:sz w:val="16"/>
              </w:rPr>
            </w:pPr>
          </w:p>
        </w:tc>
        <w:tc>
          <w:tcPr>
            <w:tcW w:w="5074" w:type="dxa"/>
          </w:tcPr>
          <w:p w14:paraId="4684D49E" w14:textId="74D07C55" w:rsidR="007348BC" w:rsidRPr="003E1241" w:rsidRDefault="007348BC" w:rsidP="00C825D6">
            <w:pPr>
              <w:pStyle w:val="BodyText2"/>
              <w:numPr>
                <w:ilvl w:val="0"/>
                <w:numId w:val="52"/>
              </w:numPr>
              <w:spacing w:before="60"/>
              <w:ind w:left="425" w:hanging="425"/>
              <w:rPr>
                <w:sz w:val="16"/>
                <w:lang w:val="en-US"/>
              </w:rPr>
            </w:pPr>
            <w:r w:rsidRPr="00D95779">
              <w:rPr>
                <w:sz w:val="16"/>
                <w:lang w:val="en-US"/>
              </w:rPr>
              <w:t xml:space="preserve">The Company may enter into compensated non-competition agreements with members of the Group Executive Board with a duration of up to </w:t>
            </w:r>
            <w:r>
              <w:rPr>
                <w:sz w:val="16"/>
                <w:lang w:val="en-US"/>
              </w:rPr>
              <w:t>18 months</w:t>
            </w:r>
            <w:r w:rsidRPr="00D95779">
              <w:rPr>
                <w:sz w:val="16"/>
                <w:lang w:val="en-US"/>
              </w:rPr>
              <w:t xml:space="preserve"> after termination of the employment. The compensation payable for each year of the non-compete obligation shall not exceed the sum of (</w:t>
            </w:r>
            <w:proofErr w:type="spellStart"/>
            <w:r w:rsidRPr="00D95779">
              <w:rPr>
                <w:sz w:val="16"/>
                <w:lang w:val="en-US"/>
              </w:rPr>
              <w:t>i</w:t>
            </w:r>
            <w:proofErr w:type="spellEnd"/>
            <w:r w:rsidRPr="00D95779">
              <w:rPr>
                <w:sz w:val="16"/>
                <w:lang w:val="en-US"/>
              </w:rPr>
              <w:t xml:space="preserve">) the last annual base salary of the member, (ii) the member's </w:t>
            </w:r>
            <w:r>
              <w:rPr>
                <w:sz w:val="16"/>
                <w:lang w:val="en-US"/>
              </w:rPr>
              <w:t xml:space="preserve">prior year </w:t>
            </w:r>
            <w:r w:rsidRPr="00834BCD">
              <w:rPr>
                <w:sz w:val="16"/>
                <w:lang w:val="en-US"/>
              </w:rPr>
              <w:t>target</w:t>
            </w:r>
            <w:r w:rsidRPr="00D95779">
              <w:rPr>
                <w:sz w:val="16"/>
                <w:lang w:val="en-US"/>
              </w:rPr>
              <w:t xml:space="preserve"> bonus, and (iii) health and/or dental premium payments based upon the member's elections in effect as of the termination</w:t>
            </w:r>
            <w:r w:rsidR="00AA2302">
              <w:rPr>
                <w:sz w:val="16"/>
                <w:lang w:val="en-US"/>
              </w:rPr>
              <w:t xml:space="preserve">, but in any event not more than an amount corresponding to the average of compensation of the respective member during the three </w:t>
            </w:r>
            <w:r w:rsidR="00732B92">
              <w:rPr>
                <w:sz w:val="16"/>
                <w:lang w:val="en-US"/>
              </w:rPr>
              <w:t xml:space="preserve">preceding </w:t>
            </w:r>
            <w:r w:rsidR="00AA2302">
              <w:rPr>
                <w:sz w:val="16"/>
                <w:lang w:val="en-US"/>
              </w:rPr>
              <w:t>financial years</w:t>
            </w:r>
            <w:r w:rsidRPr="00D95779">
              <w:rPr>
                <w:sz w:val="16"/>
                <w:lang w:val="en-US"/>
              </w:rPr>
              <w:t xml:space="preserve">. </w:t>
            </w:r>
            <w:r>
              <w:rPr>
                <w:sz w:val="16"/>
                <w:lang w:val="en-US"/>
              </w:rPr>
              <w:t>For part of a year the sum will be calculated pro rata</w:t>
            </w:r>
          </w:p>
        </w:tc>
      </w:tr>
      <w:tr w:rsidR="007348BC" w:rsidRPr="000907A8" w14:paraId="54719F2A" w14:textId="77777777" w:rsidTr="00846CDA">
        <w:trPr>
          <w:trHeight w:val="431"/>
        </w:trPr>
        <w:tc>
          <w:tcPr>
            <w:tcW w:w="4962" w:type="dxa"/>
          </w:tcPr>
          <w:p w14:paraId="01191378" w14:textId="78539258" w:rsidR="007348BC" w:rsidRPr="004E3B2A" w:rsidRDefault="007348BC" w:rsidP="00C825D6">
            <w:pPr>
              <w:pStyle w:val="BodyText2"/>
              <w:numPr>
                <w:ilvl w:val="0"/>
                <w:numId w:val="29"/>
              </w:numPr>
              <w:spacing w:before="60"/>
              <w:ind w:left="425" w:hanging="425"/>
              <w:rPr>
                <w:sz w:val="16"/>
              </w:rPr>
            </w:pPr>
            <w:r>
              <w:rPr>
                <w:sz w:val="16"/>
              </w:rPr>
              <w:t xml:space="preserve">Während einer allfälligen Freistellung dürfen die variablen Vergütungselemente pro </w:t>
            </w:r>
            <w:proofErr w:type="spellStart"/>
            <w:r>
              <w:rPr>
                <w:sz w:val="16"/>
              </w:rPr>
              <w:t>rata</w:t>
            </w:r>
            <w:proofErr w:type="spellEnd"/>
            <w:r>
              <w:rPr>
                <w:sz w:val="16"/>
              </w:rPr>
              <w:t xml:space="preserve"> ausgerichtet werden.</w:t>
            </w:r>
          </w:p>
        </w:tc>
        <w:tc>
          <w:tcPr>
            <w:tcW w:w="596" w:type="dxa"/>
            <w:vMerge/>
          </w:tcPr>
          <w:p w14:paraId="3A0CA08F" w14:textId="77777777" w:rsidR="007348BC" w:rsidRPr="00BF4878" w:rsidRDefault="007348BC" w:rsidP="007348BC">
            <w:pPr>
              <w:pStyle w:val="BodyText2"/>
              <w:spacing w:before="60"/>
              <w:ind w:left="425" w:hanging="425"/>
              <w:rPr>
                <w:sz w:val="16"/>
              </w:rPr>
            </w:pPr>
          </w:p>
        </w:tc>
        <w:tc>
          <w:tcPr>
            <w:tcW w:w="5074" w:type="dxa"/>
          </w:tcPr>
          <w:p w14:paraId="1178701C" w14:textId="7E3D038F" w:rsidR="007348BC" w:rsidRPr="003E1241" w:rsidRDefault="007348BC" w:rsidP="00C825D6">
            <w:pPr>
              <w:pStyle w:val="BodyText2"/>
              <w:numPr>
                <w:ilvl w:val="0"/>
                <w:numId w:val="52"/>
              </w:numPr>
              <w:spacing w:before="60"/>
              <w:ind w:left="425" w:hanging="425"/>
              <w:rPr>
                <w:sz w:val="16"/>
                <w:lang w:val="en-US"/>
              </w:rPr>
            </w:pPr>
            <w:r w:rsidRPr="00D95779">
              <w:rPr>
                <w:sz w:val="16"/>
                <w:lang w:val="en-US"/>
              </w:rPr>
              <w:t xml:space="preserve">During an exemption, the variable compensation may be paid pro rata. </w:t>
            </w:r>
          </w:p>
        </w:tc>
      </w:tr>
      <w:tr w:rsidR="007348BC" w:rsidRPr="00ED3367" w14:paraId="4EFBB78D" w14:textId="77777777" w:rsidTr="00846CDA">
        <w:tc>
          <w:tcPr>
            <w:tcW w:w="4962" w:type="dxa"/>
          </w:tcPr>
          <w:p w14:paraId="6D39D18C" w14:textId="77777777" w:rsidR="007348BC" w:rsidRPr="009E59E2" w:rsidRDefault="007348BC" w:rsidP="007348BC">
            <w:pPr>
              <w:pStyle w:val="BodyText2"/>
              <w:jc w:val="center"/>
              <w:rPr>
                <w:b/>
                <w:sz w:val="16"/>
                <w:lang w:val="en-US"/>
              </w:rPr>
            </w:pPr>
          </w:p>
          <w:p w14:paraId="192D9018" w14:textId="77777777" w:rsidR="007348BC" w:rsidRDefault="007348BC" w:rsidP="007348BC">
            <w:pPr>
              <w:pStyle w:val="BodyText2"/>
              <w:jc w:val="center"/>
              <w:rPr>
                <w:b/>
                <w:sz w:val="16"/>
                <w:lang w:val="en-US"/>
              </w:rPr>
            </w:pPr>
            <w:r w:rsidRPr="00ED3367">
              <w:rPr>
                <w:b/>
                <w:sz w:val="16"/>
                <w:lang w:val="en-US"/>
              </w:rPr>
              <w:t>Art. 3</w:t>
            </w:r>
            <w:r>
              <w:rPr>
                <w:b/>
                <w:sz w:val="16"/>
                <w:lang w:val="en-US"/>
              </w:rPr>
              <w:t>0</w:t>
            </w:r>
          </w:p>
          <w:p w14:paraId="5DE932C5" w14:textId="6B205572" w:rsidR="007348BC" w:rsidRPr="00ED3367" w:rsidRDefault="007348BC" w:rsidP="007348BC">
            <w:pPr>
              <w:pStyle w:val="BodyText2"/>
              <w:jc w:val="center"/>
              <w:rPr>
                <w:b/>
                <w:sz w:val="16"/>
                <w:lang w:val="en-US"/>
              </w:rPr>
            </w:pPr>
            <w:proofErr w:type="spellStart"/>
            <w:r w:rsidRPr="00ED3367">
              <w:rPr>
                <w:b/>
                <w:sz w:val="16"/>
                <w:lang w:val="en-US"/>
              </w:rPr>
              <w:t>Vorsorgeleistungen</w:t>
            </w:r>
            <w:proofErr w:type="spellEnd"/>
          </w:p>
        </w:tc>
        <w:tc>
          <w:tcPr>
            <w:tcW w:w="596" w:type="dxa"/>
          </w:tcPr>
          <w:p w14:paraId="564DA49A" w14:textId="77777777" w:rsidR="007348BC" w:rsidRPr="00ED3367" w:rsidRDefault="007348BC" w:rsidP="007348BC">
            <w:pPr>
              <w:pStyle w:val="BodyText2"/>
              <w:rPr>
                <w:sz w:val="16"/>
                <w:lang w:val="en-US"/>
              </w:rPr>
            </w:pPr>
          </w:p>
        </w:tc>
        <w:tc>
          <w:tcPr>
            <w:tcW w:w="5074" w:type="dxa"/>
          </w:tcPr>
          <w:p w14:paraId="7BB09D81" w14:textId="77777777" w:rsidR="007348BC" w:rsidRPr="00ED3367" w:rsidRDefault="007348BC" w:rsidP="007348BC">
            <w:pPr>
              <w:pStyle w:val="BodyText2"/>
              <w:jc w:val="center"/>
              <w:rPr>
                <w:b/>
                <w:sz w:val="16"/>
                <w:lang w:val="en-US"/>
              </w:rPr>
            </w:pPr>
          </w:p>
          <w:p w14:paraId="41975DD7" w14:textId="50481EE2" w:rsidR="007348BC" w:rsidRPr="00ED3367" w:rsidRDefault="007348BC" w:rsidP="007348BC">
            <w:pPr>
              <w:pStyle w:val="BodyText2"/>
              <w:jc w:val="center"/>
              <w:rPr>
                <w:b/>
                <w:sz w:val="16"/>
                <w:lang w:val="en-US"/>
              </w:rPr>
            </w:pPr>
            <w:r w:rsidRPr="00ED3367">
              <w:rPr>
                <w:b/>
                <w:sz w:val="16"/>
                <w:lang w:val="en-US"/>
              </w:rPr>
              <w:t>Art. 3</w:t>
            </w:r>
            <w:r>
              <w:rPr>
                <w:b/>
                <w:sz w:val="16"/>
                <w:lang w:val="en-US"/>
              </w:rPr>
              <w:t>0</w:t>
            </w:r>
          </w:p>
          <w:p w14:paraId="66F7E43C" w14:textId="77777777" w:rsidR="007348BC" w:rsidRPr="00ED3367" w:rsidRDefault="007348BC" w:rsidP="007348BC">
            <w:pPr>
              <w:pStyle w:val="BodyText2"/>
              <w:jc w:val="center"/>
              <w:rPr>
                <w:b/>
                <w:sz w:val="16"/>
                <w:lang w:val="en-US"/>
              </w:rPr>
            </w:pPr>
            <w:r w:rsidRPr="00ED3367">
              <w:rPr>
                <w:b/>
                <w:sz w:val="16"/>
                <w:lang w:val="en-US"/>
              </w:rPr>
              <w:t>Retirement Benefits</w:t>
            </w:r>
          </w:p>
        </w:tc>
      </w:tr>
      <w:tr w:rsidR="007348BC" w:rsidRPr="00D47D27" w14:paraId="7D80F7CA" w14:textId="77777777" w:rsidTr="00846CDA">
        <w:trPr>
          <w:trHeight w:val="37"/>
        </w:trPr>
        <w:tc>
          <w:tcPr>
            <w:tcW w:w="4962" w:type="dxa"/>
          </w:tcPr>
          <w:p w14:paraId="26EDBE07" w14:textId="48BF136D" w:rsidR="007348BC" w:rsidRPr="00835146" w:rsidRDefault="007348BC" w:rsidP="00C825D6">
            <w:pPr>
              <w:pStyle w:val="BodyText2"/>
              <w:numPr>
                <w:ilvl w:val="0"/>
                <w:numId w:val="22"/>
              </w:numPr>
              <w:spacing w:before="60"/>
              <w:ind w:left="425" w:hanging="425"/>
              <w:rPr>
                <w:sz w:val="16"/>
              </w:rPr>
            </w:pPr>
            <w:r w:rsidRPr="00ED3367">
              <w:rPr>
                <w:sz w:val="16"/>
              </w:rPr>
              <w:t>Die Gesellschaft kann eine ode</w:t>
            </w:r>
            <w:r w:rsidRPr="00D47D27">
              <w:rPr>
                <w:sz w:val="16"/>
              </w:rPr>
              <w:t>r mehre</w:t>
            </w:r>
            <w:r>
              <w:rPr>
                <w:sz w:val="16"/>
              </w:rPr>
              <w:t>re unabhängige Vorsorgeeinrich</w:t>
            </w:r>
            <w:r w:rsidRPr="00D47D27">
              <w:rPr>
                <w:sz w:val="16"/>
              </w:rPr>
              <w:t>tungen für die berufliche Vorsorge erricht</w:t>
            </w:r>
            <w:r>
              <w:rPr>
                <w:sz w:val="16"/>
              </w:rPr>
              <w:t>en oder sich solchen anschlies</w:t>
            </w:r>
            <w:r w:rsidRPr="00D47D27">
              <w:rPr>
                <w:sz w:val="16"/>
              </w:rPr>
              <w:t>sen. Arbeitgeberseitige Beiträge an solche Vorsorgeeinrichtungen, nicht aber die von solchen Vorsorgeeinrichtungen aus</w:t>
            </w:r>
            <w:r>
              <w:rPr>
                <w:sz w:val="16"/>
              </w:rPr>
              <w:t>gerichteten reglementari</w:t>
            </w:r>
            <w:r w:rsidRPr="00D47D27">
              <w:rPr>
                <w:sz w:val="16"/>
              </w:rPr>
              <w:t>schen Leistungen, gelten als Bestandte</w:t>
            </w:r>
            <w:r>
              <w:rPr>
                <w:sz w:val="16"/>
              </w:rPr>
              <w:t>il der Vergütung. Aufgrund an</w:t>
            </w:r>
            <w:r w:rsidRPr="00D47D27">
              <w:rPr>
                <w:sz w:val="16"/>
              </w:rPr>
              <w:t>wendbarer Regelungen (inklusive unter q</w:t>
            </w:r>
            <w:r>
              <w:rPr>
                <w:sz w:val="16"/>
              </w:rPr>
              <w:t>ualifizierten und nichtqualifi</w:t>
            </w:r>
            <w:r w:rsidRPr="00D47D27">
              <w:rPr>
                <w:sz w:val="16"/>
              </w:rPr>
              <w:t>zierten beitragsorientierten Plänen) für die berufliche Vorsorge direkt vom Arbeitgeber g</w:t>
            </w:r>
            <w:r>
              <w:rPr>
                <w:sz w:val="16"/>
              </w:rPr>
              <w:t>e</w:t>
            </w:r>
            <w:r w:rsidRPr="00D47D27">
              <w:rPr>
                <w:sz w:val="16"/>
              </w:rPr>
              <w:t xml:space="preserve">äufnete bzw. ausgerichtete Vorsorgeleistungen werden </w:t>
            </w:r>
            <w:proofErr w:type="gramStart"/>
            <w:r w:rsidRPr="00D47D27">
              <w:rPr>
                <w:sz w:val="16"/>
              </w:rPr>
              <w:t>gleich behandelt</w:t>
            </w:r>
            <w:proofErr w:type="gramEnd"/>
            <w:r w:rsidRPr="00D47D27">
              <w:rPr>
                <w:sz w:val="16"/>
              </w:rPr>
              <w:t xml:space="preserve"> wie Beiträge an </w:t>
            </w:r>
            <w:r>
              <w:rPr>
                <w:sz w:val="16"/>
              </w:rPr>
              <w:t>und Leistungen von Vorsorgeein</w:t>
            </w:r>
            <w:r w:rsidRPr="00D47D27">
              <w:rPr>
                <w:sz w:val="16"/>
              </w:rPr>
              <w:t>richtungen.</w:t>
            </w:r>
          </w:p>
        </w:tc>
        <w:tc>
          <w:tcPr>
            <w:tcW w:w="596" w:type="dxa"/>
            <w:vMerge w:val="restart"/>
          </w:tcPr>
          <w:p w14:paraId="099FC772" w14:textId="77777777" w:rsidR="007348BC" w:rsidRPr="00B311BC" w:rsidRDefault="007348BC" w:rsidP="007348BC">
            <w:pPr>
              <w:pStyle w:val="BodyText2"/>
              <w:spacing w:before="60"/>
              <w:ind w:left="425" w:hanging="425"/>
              <w:rPr>
                <w:sz w:val="16"/>
              </w:rPr>
            </w:pPr>
          </w:p>
        </w:tc>
        <w:tc>
          <w:tcPr>
            <w:tcW w:w="5074" w:type="dxa"/>
          </w:tcPr>
          <w:p w14:paraId="09C8F58E" w14:textId="5D8EF991" w:rsidR="007348BC" w:rsidRPr="00835146" w:rsidRDefault="007348BC" w:rsidP="00C825D6">
            <w:pPr>
              <w:pStyle w:val="BodyText2"/>
              <w:numPr>
                <w:ilvl w:val="0"/>
                <w:numId w:val="53"/>
              </w:numPr>
              <w:spacing w:before="60"/>
              <w:ind w:left="425" w:hanging="425"/>
              <w:rPr>
                <w:sz w:val="16"/>
                <w:lang w:val="en-US"/>
              </w:rPr>
            </w:pPr>
            <w:r w:rsidRPr="00D95779">
              <w:rPr>
                <w:sz w:val="16"/>
                <w:lang w:val="en-US"/>
              </w:rPr>
              <w:t xml:space="preserve">The Company may establish one or more independent pension funds for occupational pension benefits or may join such funds. Contributions to such pension funds on the part of the </w:t>
            </w:r>
            <w:proofErr w:type="gramStart"/>
            <w:r w:rsidRPr="00D95779">
              <w:rPr>
                <w:sz w:val="16"/>
                <w:lang w:val="en-US"/>
              </w:rPr>
              <w:t>employer, but</w:t>
            </w:r>
            <w:proofErr w:type="gramEnd"/>
            <w:r w:rsidRPr="00D95779">
              <w:rPr>
                <w:sz w:val="16"/>
                <w:lang w:val="en-US"/>
              </w:rPr>
              <w:t xml:space="preserve"> not benefits which are paid out by such pension funds, are deemed part of the compensation. Retirement benefits accumulated or paid directly by the employer based on applicable regulations on occupational pension benefits (including under qualified and non-qualified defined contribution plans) are treated the same way as contributions to and benefits by pension funds.</w:t>
            </w:r>
          </w:p>
        </w:tc>
      </w:tr>
      <w:tr w:rsidR="007348BC" w:rsidRPr="00D47D27" w14:paraId="0418B1F0" w14:textId="77777777" w:rsidTr="00846CDA">
        <w:trPr>
          <w:trHeight w:val="1354"/>
        </w:trPr>
        <w:tc>
          <w:tcPr>
            <w:tcW w:w="4962" w:type="dxa"/>
          </w:tcPr>
          <w:p w14:paraId="5D5C3422" w14:textId="11B30451" w:rsidR="007348BC" w:rsidRPr="00ED3367" w:rsidRDefault="007348BC" w:rsidP="00C825D6">
            <w:pPr>
              <w:pStyle w:val="BodyText2"/>
              <w:numPr>
                <w:ilvl w:val="0"/>
                <w:numId w:val="22"/>
              </w:numPr>
              <w:spacing w:before="60"/>
              <w:ind w:left="425" w:hanging="425"/>
              <w:rPr>
                <w:sz w:val="16"/>
              </w:rPr>
            </w:pPr>
            <w:r w:rsidRPr="00B311BC">
              <w:rPr>
                <w:sz w:val="16"/>
              </w:rPr>
              <w:t xml:space="preserve">Die Gesellschaft und ihre Tochtergesellschaften können Mitgliedern der Geschäftsleitung anstelle oder zusätzlich zu den Leistungen nach </w:t>
            </w:r>
            <w:r>
              <w:rPr>
                <w:sz w:val="16"/>
              </w:rPr>
              <w:t xml:space="preserve">Absatz 1 dieses Artikels </w:t>
            </w:r>
            <w:r w:rsidRPr="00B311BC">
              <w:rPr>
                <w:sz w:val="16"/>
              </w:rPr>
              <w:t>direkt Vorsorgeleistungen (wie Re</w:t>
            </w:r>
            <w:r>
              <w:rPr>
                <w:sz w:val="16"/>
              </w:rPr>
              <w:t>nten, Kauf von Krankenversiche</w:t>
            </w:r>
            <w:r w:rsidRPr="00B311BC">
              <w:rPr>
                <w:sz w:val="16"/>
              </w:rPr>
              <w:t>rungen und dgl.) ausserhalb der beruflichen Vorsorge in Aussicht stellen und nach ihrem Ausscheiden ausbezahlen. Solche Renten sollen pro Jahr die letzte an dieses Mitglied ausbezahlte jährliche Grundvergütung nicht übersteigen. Bei Kapitalabfindungen wi</w:t>
            </w:r>
            <w:r>
              <w:rPr>
                <w:sz w:val="16"/>
              </w:rPr>
              <w:t>rd der Wert einer Vorsorgeleis</w:t>
            </w:r>
            <w:r w:rsidRPr="00B311BC">
              <w:rPr>
                <w:sz w:val="16"/>
              </w:rPr>
              <w:t>tung aufgrund anerkannter versicherung</w:t>
            </w:r>
            <w:r>
              <w:rPr>
                <w:sz w:val="16"/>
              </w:rPr>
              <w:t>smathematischer Methoden ermit</w:t>
            </w:r>
            <w:r w:rsidRPr="00B311BC">
              <w:rPr>
                <w:sz w:val="16"/>
              </w:rPr>
              <w:t>telt. Die Zahlung von Überbrückungs- bzw. Zwischenleistungen zwischen Frühpensionierung und regulärem Rentenalter ist möglich. Zudem können die Mitglieder der Geschäftsleitung an den</w:t>
            </w:r>
            <w:r>
              <w:rPr>
                <w:sz w:val="16"/>
              </w:rPr>
              <w:t xml:space="preserve"> von der Gesellschaft unterhal</w:t>
            </w:r>
            <w:r w:rsidRPr="00B311BC">
              <w:rPr>
                <w:sz w:val="16"/>
              </w:rPr>
              <w:t xml:space="preserve">tenen </w:t>
            </w:r>
            <w:r>
              <w:rPr>
                <w:sz w:val="16"/>
              </w:rPr>
              <w:t xml:space="preserve">Krankenversicherungsprogrammen </w:t>
            </w:r>
            <w:r w:rsidRPr="00B311BC">
              <w:rPr>
                <w:sz w:val="16"/>
              </w:rPr>
              <w:t>teilnehmen.</w:t>
            </w:r>
          </w:p>
        </w:tc>
        <w:tc>
          <w:tcPr>
            <w:tcW w:w="596" w:type="dxa"/>
            <w:vMerge/>
          </w:tcPr>
          <w:p w14:paraId="3548E58D" w14:textId="77777777" w:rsidR="007348BC" w:rsidRPr="00B311BC" w:rsidRDefault="007348BC" w:rsidP="007348BC">
            <w:pPr>
              <w:pStyle w:val="BodyText2"/>
              <w:spacing w:before="60"/>
              <w:ind w:left="425" w:hanging="425"/>
              <w:rPr>
                <w:sz w:val="16"/>
              </w:rPr>
            </w:pPr>
          </w:p>
        </w:tc>
        <w:tc>
          <w:tcPr>
            <w:tcW w:w="5074" w:type="dxa"/>
          </w:tcPr>
          <w:p w14:paraId="489B2CF6" w14:textId="568B0F1E" w:rsidR="007348BC" w:rsidRPr="00D95779" w:rsidRDefault="007348BC" w:rsidP="00C825D6">
            <w:pPr>
              <w:pStyle w:val="BodyText2"/>
              <w:numPr>
                <w:ilvl w:val="0"/>
                <w:numId w:val="53"/>
              </w:numPr>
              <w:spacing w:before="60"/>
              <w:ind w:left="425" w:hanging="425"/>
              <w:rPr>
                <w:sz w:val="16"/>
                <w:lang w:val="en-US"/>
              </w:rPr>
            </w:pPr>
            <w:proofErr w:type="gramStart"/>
            <w:r w:rsidRPr="00D95779">
              <w:rPr>
                <w:sz w:val="16"/>
                <w:lang w:val="en-US"/>
              </w:rPr>
              <w:t>Instead</w:t>
            </w:r>
            <w:proofErr w:type="gramEnd"/>
            <w:r w:rsidRPr="00D95779">
              <w:rPr>
                <w:sz w:val="16"/>
                <w:lang w:val="en-US"/>
              </w:rPr>
              <w:t xml:space="preserve"> or in addition to benefits pursuant to paragraph 1 of this article, the Company and its subsidiaries may directly offer retirement benefits (such as pensions, purchase of health care insurances etc.) outside of the scope of occupational pension benefit regulations to members of the Group Executive Board and may pay them out after retirement. Such retirement benefits shall not exceed the last paid out annual base salary of the respective member per year. In the case of lump-sum settlements, the value of a pension shall be determined based on recognized actuarial methods. The payment of bridge or interim annuities between early retirement and the regular retirement age is possible. In addition, the members of the Group Executive Board may participate in the health plans maintained by the Company.</w:t>
            </w:r>
          </w:p>
        </w:tc>
      </w:tr>
      <w:tr w:rsidR="007348BC" w:rsidRPr="00B04DDE" w14:paraId="2D5933F3" w14:textId="77777777" w:rsidTr="00846CDA">
        <w:tc>
          <w:tcPr>
            <w:tcW w:w="4962" w:type="dxa"/>
          </w:tcPr>
          <w:p w14:paraId="57AEEADB" w14:textId="77777777" w:rsidR="007348BC" w:rsidRPr="00D47D27" w:rsidRDefault="007348BC" w:rsidP="007348BC">
            <w:pPr>
              <w:pStyle w:val="BodyText2"/>
              <w:ind w:left="340"/>
              <w:jc w:val="center"/>
              <w:rPr>
                <w:sz w:val="16"/>
                <w:lang w:val="en-US"/>
              </w:rPr>
            </w:pPr>
          </w:p>
          <w:p w14:paraId="511A3427" w14:textId="77777777" w:rsidR="007348BC" w:rsidRDefault="007348BC" w:rsidP="007348BC">
            <w:pPr>
              <w:pStyle w:val="BodyText2"/>
              <w:jc w:val="center"/>
              <w:rPr>
                <w:b/>
                <w:sz w:val="16"/>
              </w:rPr>
            </w:pPr>
            <w:r>
              <w:rPr>
                <w:b/>
                <w:sz w:val="16"/>
              </w:rPr>
              <w:t>Art. 31</w:t>
            </w:r>
          </w:p>
          <w:p w14:paraId="53D3AC3A" w14:textId="4FE2F693" w:rsidR="007348BC" w:rsidRPr="00A1439E" w:rsidRDefault="007348BC" w:rsidP="007348BC">
            <w:pPr>
              <w:pStyle w:val="BodyText2"/>
              <w:jc w:val="center"/>
              <w:rPr>
                <w:b/>
                <w:sz w:val="16"/>
              </w:rPr>
            </w:pPr>
            <w:r>
              <w:rPr>
                <w:b/>
                <w:sz w:val="16"/>
              </w:rPr>
              <w:t>Rechtsnatur</w:t>
            </w:r>
          </w:p>
        </w:tc>
        <w:tc>
          <w:tcPr>
            <w:tcW w:w="596" w:type="dxa"/>
          </w:tcPr>
          <w:p w14:paraId="7A82FD9D" w14:textId="77777777" w:rsidR="007348BC" w:rsidRPr="00B04DDE" w:rsidRDefault="007348BC" w:rsidP="007348BC">
            <w:pPr>
              <w:pStyle w:val="BodyText2"/>
              <w:rPr>
                <w:sz w:val="16"/>
              </w:rPr>
            </w:pPr>
          </w:p>
        </w:tc>
        <w:tc>
          <w:tcPr>
            <w:tcW w:w="5074" w:type="dxa"/>
          </w:tcPr>
          <w:p w14:paraId="0E487A5B" w14:textId="77777777" w:rsidR="007348BC" w:rsidRPr="00B2154F" w:rsidRDefault="007348BC" w:rsidP="007348BC">
            <w:pPr>
              <w:pStyle w:val="BodyText2"/>
              <w:ind w:left="340"/>
              <w:jc w:val="center"/>
              <w:rPr>
                <w:sz w:val="16"/>
              </w:rPr>
            </w:pPr>
          </w:p>
          <w:p w14:paraId="0D8AB487" w14:textId="11F98529" w:rsidR="007348BC" w:rsidRPr="00B04DDE" w:rsidRDefault="007348BC" w:rsidP="007348BC">
            <w:pPr>
              <w:pStyle w:val="BodyText2"/>
              <w:jc w:val="center"/>
              <w:rPr>
                <w:b/>
                <w:sz w:val="16"/>
              </w:rPr>
            </w:pPr>
            <w:r>
              <w:rPr>
                <w:b/>
                <w:sz w:val="16"/>
              </w:rPr>
              <w:t>Art. 31</w:t>
            </w:r>
          </w:p>
          <w:p w14:paraId="1D3C4CC0" w14:textId="77777777" w:rsidR="007348BC" w:rsidRPr="00B04DDE" w:rsidRDefault="007348BC" w:rsidP="007348BC">
            <w:pPr>
              <w:pStyle w:val="BodyText2"/>
              <w:spacing w:after="240"/>
              <w:jc w:val="center"/>
              <w:rPr>
                <w:sz w:val="16"/>
              </w:rPr>
            </w:pPr>
            <w:r>
              <w:rPr>
                <w:b/>
                <w:sz w:val="16"/>
              </w:rPr>
              <w:t>Legal Nature</w:t>
            </w:r>
          </w:p>
        </w:tc>
      </w:tr>
      <w:tr w:rsidR="007348BC" w:rsidRPr="00B04DDE" w14:paraId="4F71E656" w14:textId="77777777" w:rsidTr="00846CDA">
        <w:tc>
          <w:tcPr>
            <w:tcW w:w="4962" w:type="dxa"/>
          </w:tcPr>
          <w:p w14:paraId="522AAEB8" w14:textId="77777777" w:rsidR="007348BC" w:rsidRPr="004E3B2A" w:rsidRDefault="007348BC" w:rsidP="007348BC">
            <w:pPr>
              <w:pStyle w:val="BodyText2"/>
              <w:rPr>
                <w:sz w:val="16"/>
              </w:rPr>
            </w:pPr>
            <w:r w:rsidRPr="00B04DDE">
              <w:rPr>
                <w:sz w:val="16"/>
              </w:rPr>
              <w:t>Die Bestimmungen dieses Abschnitts sind gesellschaftsrechtlicher Natur und begründen keine individuellen Leistungsansprüche.</w:t>
            </w:r>
          </w:p>
        </w:tc>
        <w:tc>
          <w:tcPr>
            <w:tcW w:w="596" w:type="dxa"/>
          </w:tcPr>
          <w:p w14:paraId="4A7DA096" w14:textId="77777777" w:rsidR="007348BC" w:rsidRPr="00B04DDE" w:rsidRDefault="007348BC" w:rsidP="007348BC">
            <w:pPr>
              <w:pStyle w:val="BodyText2"/>
              <w:rPr>
                <w:sz w:val="16"/>
              </w:rPr>
            </w:pPr>
          </w:p>
        </w:tc>
        <w:tc>
          <w:tcPr>
            <w:tcW w:w="5074" w:type="dxa"/>
          </w:tcPr>
          <w:p w14:paraId="508668DE" w14:textId="77777777" w:rsidR="007348BC" w:rsidRPr="00B04DDE" w:rsidRDefault="007348BC" w:rsidP="007348BC">
            <w:pPr>
              <w:pStyle w:val="BodyText2"/>
              <w:rPr>
                <w:sz w:val="16"/>
                <w:lang w:val="en-US"/>
              </w:rPr>
            </w:pPr>
            <w:r w:rsidRPr="00D95779">
              <w:rPr>
                <w:sz w:val="16"/>
                <w:lang w:val="en-US"/>
              </w:rPr>
              <w:t>The provisions of this section are of a company-law nature and do not create individual claims for benefits.</w:t>
            </w:r>
          </w:p>
        </w:tc>
      </w:tr>
      <w:tr w:rsidR="007348BC" w:rsidRPr="00A7345A" w14:paraId="31C94ED1" w14:textId="77777777" w:rsidTr="00846CDA">
        <w:tc>
          <w:tcPr>
            <w:tcW w:w="4962" w:type="dxa"/>
          </w:tcPr>
          <w:p w14:paraId="5F9E5B57" w14:textId="77777777" w:rsidR="007348BC" w:rsidRPr="00B04DDE" w:rsidRDefault="007348BC" w:rsidP="007348BC">
            <w:pPr>
              <w:pStyle w:val="BodyText2"/>
              <w:ind w:left="340"/>
              <w:jc w:val="center"/>
              <w:rPr>
                <w:sz w:val="16"/>
                <w:lang w:val="en-US"/>
              </w:rPr>
            </w:pPr>
          </w:p>
          <w:p w14:paraId="5922FA3C" w14:textId="77777777" w:rsidR="007348BC" w:rsidRPr="00B214CF" w:rsidRDefault="007348BC" w:rsidP="007348BC">
            <w:pPr>
              <w:pStyle w:val="BodyText2"/>
              <w:jc w:val="center"/>
              <w:rPr>
                <w:b/>
                <w:sz w:val="16"/>
              </w:rPr>
            </w:pPr>
            <w:r w:rsidRPr="00B214CF">
              <w:rPr>
                <w:b/>
                <w:sz w:val="16"/>
              </w:rPr>
              <w:t xml:space="preserve">5. </w:t>
            </w:r>
            <w:r>
              <w:rPr>
                <w:b/>
                <w:sz w:val="16"/>
              </w:rPr>
              <w:t>Geschäftsjahr, Bilanzgewinn</w:t>
            </w:r>
          </w:p>
        </w:tc>
        <w:tc>
          <w:tcPr>
            <w:tcW w:w="596" w:type="dxa"/>
          </w:tcPr>
          <w:p w14:paraId="2DE6C3A3" w14:textId="77777777" w:rsidR="007348BC" w:rsidRPr="00B214CF" w:rsidRDefault="007348BC" w:rsidP="007348BC">
            <w:pPr>
              <w:pStyle w:val="BodyText2"/>
              <w:jc w:val="center"/>
              <w:rPr>
                <w:sz w:val="16"/>
              </w:rPr>
            </w:pPr>
          </w:p>
        </w:tc>
        <w:tc>
          <w:tcPr>
            <w:tcW w:w="5074" w:type="dxa"/>
          </w:tcPr>
          <w:p w14:paraId="08EC1704" w14:textId="77777777" w:rsidR="007348BC" w:rsidRPr="007C4D87" w:rsidRDefault="007348BC" w:rsidP="007348BC">
            <w:pPr>
              <w:pStyle w:val="BodyText2"/>
              <w:ind w:left="317"/>
              <w:jc w:val="center"/>
              <w:rPr>
                <w:sz w:val="16"/>
                <w:lang w:val="en-US"/>
              </w:rPr>
            </w:pPr>
          </w:p>
          <w:p w14:paraId="643B9CEA" w14:textId="77777777" w:rsidR="007348BC" w:rsidRPr="00A7345A" w:rsidRDefault="007348BC" w:rsidP="007348BC">
            <w:pPr>
              <w:pStyle w:val="BodyText2"/>
              <w:jc w:val="center"/>
              <w:rPr>
                <w:b/>
                <w:sz w:val="16"/>
                <w:lang w:val="en-US"/>
              </w:rPr>
            </w:pPr>
            <w:r w:rsidRPr="007C4D87">
              <w:rPr>
                <w:b/>
                <w:sz w:val="16"/>
                <w:lang w:val="en-US"/>
              </w:rPr>
              <w:t xml:space="preserve">5. Financial year, profit </w:t>
            </w:r>
            <w:r>
              <w:rPr>
                <w:b/>
                <w:sz w:val="16"/>
                <w:lang w:val="en-US"/>
              </w:rPr>
              <w:t>allocation</w:t>
            </w:r>
          </w:p>
          <w:p w14:paraId="5DFF9A24" w14:textId="77777777" w:rsidR="007348BC" w:rsidRPr="00A7345A" w:rsidRDefault="007348BC" w:rsidP="007348BC">
            <w:pPr>
              <w:pStyle w:val="BodyText2"/>
              <w:ind w:left="850"/>
              <w:jc w:val="center"/>
              <w:rPr>
                <w:sz w:val="16"/>
                <w:lang w:val="en-US"/>
              </w:rPr>
            </w:pPr>
          </w:p>
        </w:tc>
      </w:tr>
      <w:tr w:rsidR="007348BC" w:rsidRPr="00A1421C" w14:paraId="1EEA3F0A" w14:textId="77777777" w:rsidTr="00846CDA">
        <w:tc>
          <w:tcPr>
            <w:tcW w:w="4962" w:type="dxa"/>
          </w:tcPr>
          <w:p w14:paraId="39B72C89" w14:textId="77777777" w:rsidR="00FA63B0" w:rsidRDefault="00FA63B0" w:rsidP="007348BC">
            <w:pPr>
              <w:pStyle w:val="BodyText2"/>
              <w:jc w:val="center"/>
              <w:rPr>
                <w:b/>
                <w:sz w:val="16"/>
              </w:rPr>
            </w:pPr>
          </w:p>
          <w:p w14:paraId="6BFD7EC2" w14:textId="5634914D" w:rsidR="007348BC" w:rsidRPr="00B214CF" w:rsidRDefault="007348BC" w:rsidP="007348BC">
            <w:pPr>
              <w:pStyle w:val="BodyText2"/>
              <w:jc w:val="center"/>
              <w:rPr>
                <w:b/>
                <w:sz w:val="16"/>
              </w:rPr>
            </w:pPr>
            <w:r w:rsidRPr="00B214CF">
              <w:rPr>
                <w:b/>
                <w:sz w:val="16"/>
              </w:rPr>
              <w:t xml:space="preserve">Art. </w:t>
            </w:r>
            <w:r>
              <w:rPr>
                <w:b/>
                <w:sz w:val="16"/>
              </w:rPr>
              <w:t>32</w:t>
            </w:r>
          </w:p>
          <w:p w14:paraId="76F4C917" w14:textId="77777777" w:rsidR="007348BC" w:rsidRPr="00B214CF" w:rsidRDefault="007348BC" w:rsidP="007348BC">
            <w:pPr>
              <w:pStyle w:val="BodyText2"/>
              <w:jc w:val="center"/>
              <w:rPr>
                <w:sz w:val="16"/>
              </w:rPr>
            </w:pPr>
            <w:r w:rsidRPr="00B214CF">
              <w:rPr>
                <w:b/>
                <w:sz w:val="16"/>
              </w:rPr>
              <w:t>Geschäftsjahr, Geschäftsbericht</w:t>
            </w:r>
          </w:p>
        </w:tc>
        <w:tc>
          <w:tcPr>
            <w:tcW w:w="596" w:type="dxa"/>
          </w:tcPr>
          <w:p w14:paraId="27D377DC" w14:textId="77777777" w:rsidR="007348BC" w:rsidRPr="00B214CF" w:rsidRDefault="007348BC" w:rsidP="007348BC">
            <w:pPr>
              <w:pStyle w:val="BodyText2"/>
              <w:jc w:val="center"/>
              <w:rPr>
                <w:sz w:val="16"/>
              </w:rPr>
            </w:pPr>
          </w:p>
        </w:tc>
        <w:tc>
          <w:tcPr>
            <w:tcW w:w="5074" w:type="dxa"/>
          </w:tcPr>
          <w:p w14:paraId="48CCAC04" w14:textId="77777777" w:rsidR="00FA63B0" w:rsidRPr="00A1421C" w:rsidRDefault="00FA63B0" w:rsidP="007348BC">
            <w:pPr>
              <w:pStyle w:val="BodyText2"/>
              <w:ind w:left="317"/>
              <w:jc w:val="center"/>
              <w:rPr>
                <w:b/>
                <w:sz w:val="16"/>
                <w:lang w:val="en-US"/>
              </w:rPr>
            </w:pPr>
          </w:p>
          <w:p w14:paraId="71EF8695" w14:textId="4A9704C6" w:rsidR="007348BC" w:rsidRPr="00D95779" w:rsidRDefault="007348BC" w:rsidP="007348BC">
            <w:pPr>
              <w:pStyle w:val="BodyText2"/>
              <w:jc w:val="center"/>
              <w:rPr>
                <w:b/>
                <w:sz w:val="16"/>
                <w:lang w:val="en-US"/>
              </w:rPr>
            </w:pPr>
            <w:r w:rsidRPr="00D95779">
              <w:rPr>
                <w:b/>
                <w:sz w:val="16"/>
                <w:lang w:val="en-US"/>
              </w:rPr>
              <w:t>Art. 32</w:t>
            </w:r>
          </w:p>
          <w:p w14:paraId="0D0AF440" w14:textId="77777777" w:rsidR="007348BC" w:rsidRPr="00D95779" w:rsidRDefault="007348BC" w:rsidP="007348BC">
            <w:pPr>
              <w:pStyle w:val="BodyText2"/>
              <w:jc w:val="center"/>
              <w:rPr>
                <w:b/>
                <w:sz w:val="16"/>
                <w:lang w:val="en-US"/>
              </w:rPr>
            </w:pPr>
            <w:r w:rsidRPr="00D95779">
              <w:rPr>
                <w:b/>
                <w:sz w:val="16"/>
                <w:lang w:val="en-US"/>
              </w:rPr>
              <w:t>Financial year and financial statements</w:t>
            </w:r>
          </w:p>
          <w:p w14:paraId="7848E0F0" w14:textId="77777777" w:rsidR="007348BC" w:rsidRPr="00A1421C" w:rsidRDefault="007348BC" w:rsidP="007348BC">
            <w:pPr>
              <w:pStyle w:val="BodyText2"/>
              <w:ind w:left="317"/>
              <w:jc w:val="center"/>
              <w:rPr>
                <w:sz w:val="16"/>
                <w:lang w:val="en-US"/>
              </w:rPr>
            </w:pPr>
          </w:p>
        </w:tc>
      </w:tr>
      <w:tr w:rsidR="007348BC" w:rsidRPr="00937FAC" w14:paraId="7E1F649F" w14:textId="77777777" w:rsidTr="00846CDA">
        <w:trPr>
          <w:trHeight w:val="396"/>
        </w:trPr>
        <w:tc>
          <w:tcPr>
            <w:tcW w:w="4962" w:type="dxa"/>
          </w:tcPr>
          <w:p w14:paraId="46954FAA" w14:textId="01A0F6DC" w:rsidR="007348BC" w:rsidRPr="00835146" w:rsidRDefault="007348BC" w:rsidP="007348BC">
            <w:pPr>
              <w:pStyle w:val="BodyText2"/>
              <w:numPr>
                <w:ilvl w:val="0"/>
                <w:numId w:val="13"/>
              </w:numPr>
              <w:spacing w:before="60"/>
              <w:ind w:left="425" w:hanging="425"/>
              <w:rPr>
                <w:sz w:val="16"/>
              </w:rPr>
            </w:pPr>
            <w:r>
              <w:rPr>
                <w:sz w:val="16"/>
              </w:rPr>
              <w:t>Der Verwaltungsrat legt das Geschäftsjahr fest.</w:t>
            </w:r>
          </w:p>
        </w:tc>
        <w:tc>
          <w:tcPr>
            <w:tcW w:w="596" w:type="dxa"/>
            <w:vMerge w:val="restart"/>
          </w:tcPr>
          <w:p w14:paraId="691E126F" w14:textId="77777777" w:rsidR="007348BC" w:rsidRPr="00095F40" w:rsidRDefault="007348BC" w:rsidP="007348BC">
            <w:pPr>
              <w:pStyle w:val="BodyText2"/>
              <w:ind w:left="425" w:hanging="425"/>
              <w:rPr>
                <w:sz w:val="16"/>
              </w:rPr>
            </w:pPr>
          </w:p>
        </w:tc>
        <w:tc>
          <w:tcPr>
            <w:tcW w:w="5074" w:type="dxa"/>
          </w:tcPr>
          <w:p w14:paraId="01E30ABB" w14:textId="276A9298" w:rsidR="007348BC" w:rsidRPr="00835146" w:rsidRDefault="007348BC" w:rsidP="00C825D6">
            <w:pPr>
              <w:pStyle w:val="BodyText2"/>
              <w:numPr>
                <w:ilvl w:val="0"/>
                <w:numId w:val="54"/>
              </w:numPr>
              <w:spacing w:before="60"/>
              <w:ind w:left="425" w:hanging="425"/>
              <w:rPr>
                <w:sz w:val="16"/>
                <w:lang w:val="en-US"/>
              </w:rPr>
            </w:pPr>
            <w:r w:rsidRPr="00D95779">
              <w:rPr>
                <w:sz w:val="16"/>
                <w:lang w:val="en-US"/>
              </w:rPr>
              <w:t>The Board of Directors determines the financial year.</w:t>
            </w:r>
          </w:p>
        </w:tc>
      </w:tr>
      <w:tr w:rsidR="007348BC" w:rsidRPr="00937FAC" w14:paraId="10175E73" w14:textId="77777777" w:rsidTr="00846CDA">
        <w:trPr>
          <w:trHeight w:val="396"/>
        </w:trPr>
        <w:tc>
          <w:tcPr>
            <w:tcW w:w="4962" w:type="dxa"/>
          </w:tcPr>
          <w:p w14:paraId="5C16FFE5" w14:textId="59887449" w:rsidR="007348BC" w:rsidRPr="00835146" w:rsidRDefault="007348BC" w:rsidP="007348BC">
            <w:pPr>
              <w:pStyle w:val="BodyText2"/>
              <w:numPr>
                <w:ilvl w:val="0"/>
                <w:numId w:val="13"/>
              </w:numPr>
              <w:spacing w:before="60"/>
              <w:ind w:left="425" w:hanging="425"/>
              <w:rPr>
                <w:sz w:val="16"/>
              </w:rPr>
            </w:pPr>
            <w:r w:rsidRPr="00095F40">
              <w:rPr>
                <w:sz w:val="16"/>
              </w:rPr>
              <w:lastRenderedPageBreak/>
              <w:t>Der Verwaltungsrat erstellt für jedes Geschäftsjahr einen Geschäftsbericht, der sich aus der Jahresrechnung (bestehend aus Erfolgsrechnung, Bilanz und</w:t>
            </w:r>
            <w:r>
              <w:rPr>
                <w:sz w:val="16"/>
              </w:rPr>
              <w:t xml:space="preserve"> Anhang sowie gegebenenfalls ei</w:t>
            </w:r>
            <w:r w:rsidRPr="00095F40">
              <w:rPr>
                <w:sz w:val="16"/>
              </w:rPr>
              <w:t>ner Geldflussrechnung), dem Lagebericht u</w:t>
            </w:r>
            <w:r>
              <w:rPr>
                <w:sz w:val="16"/>
              </w:rPr>
              <w:t>nd der Konzernrechnung zusammen</w:t>
            </w:r>
            <w:r w:rsidRPr="00095F40">
              <w:rPr>
                <w:sz w:val="16"/>
              </w:rPr>
              <w:t>setzt.</w:t>
            </w:r>
          </w:p>
        </w:tc>
        <w:tc>
          <w:tcPr>
            <w:tcW w:w="596" w:type="dxa"/>
            <w:vMerge/>
          </w:tcPr>
          <w:p w14:paraId="7963EB66" w14:textId="77777777" w:rsidR="007348BC" w:rsidRPr="00095F40" w:rsidRDefault="007348BC" w:rsidP="007348BC">
            <w:pPr>
              <w:pStyle w:val="BodyText2"/>
              <w:ind w:left="425" w:hanging="425"/>
              <w:rPr>
                <w:sz w:val="16"/>
              </w:rPr>
            </w:pPr>
          </w:p>
        </w:tc>
        <w:tc>
          <w:tcPr>
            <w:tcW w:w="5074" w:type="dxa"/>
          </w:tcPr>
          <w:p w14:paraId="094AA7E3" w14:textId="134DD0E5" w:rsidR="007348BC" w:rsidRPr="00D95779" w:rsidRDefault="007348BC" w:rsidP="00C825D6">
            <w:pPr>
              <w:pStyle w:val="BodyText2"/>
              <w:numPr>
                <w:ilvl w:val="0"/>
                <w:numId w:val="54"/>
              </w:numPr>
              <w:spacing w:before="60"/>
              <w:ind w:left="425" w:hanging="425"/>
              <w:rPr>
                <w:sz w:val="16"/>
                <w:lang w:val="en-US"/>
              </w:rPr>
            </w:pPr>
            <w:r w:rsidRPr="00D95779">
              <w:rPr>
                <w:sz w:val="16"/>
                <w:lang w:val="en-US"/>
              </w:rPr>
              <w:t>The Board of Directors shall prepare for each financial year a business report which includes the Company financial statements (comprising income statement, balance sheet and notes thereto, and, where appropriate, a cash flow statement), the management report, and the consolidated financial statements.</w:t>
            </w:r>
          </w:p>
        </w:tc>
      </w:tr>
      <w:tr w:rsidR="007348BC" w:rsidRPr="00BA0AF1" w14:paraId="7D5EECCF" w14:textId="77777777" w:rsidTr="00846CDA">
        <w:tc>
          <w:tcPr>
            <w:tcW w:w="4962" w:type="dxa"/>
          </w:tcPr>
          <w:p w14:paraId="15642CEA" w14:textId="77777777" w:rsidR="007348BC" w:rsidRDefault="007348BC" w:rsidP="007348BC">
            <w:pPr>
              <w:pStyle w:val="BodyText2"/>
              <w:ind w:left="340"/>
              <w:jc w:val="center"/>
              <w:rPr>
                <w:sz w:val="16"/>
                <w:lang w:val="en-US"/>
              </w:rPr>
            </w:pPr>
          </w:p>
          <w:p w14:paraId="3F1BCEDF" w14:textId="1E9EEA56" w:rsidR="007348BC" w:rsidRPr="00095F40" w:rsidRDefault="007348BC" w:rsidP="007348BC">
            <w:pPr>
              <w:pStyle w:val="BodyText2"/>
              <w:jc w:val="center"/>
              <w:rPr>
                <w:b/>
                <w:sz w:val="16"/>
                <w:lang w:val="en-US"/>
              </w:rPr>
            </w:pPr>
            <w:r w:rsidRPr="00095F40">
              <w:rPr>
                <w:b/>
                <w:sz w:val="16"/>
                <w:lang w:val="en-US"/>
              </w:rPr>
              <w:t xml:space="preserve">Art. </w:t>
            </w:r>
            <w:r>
              <w:rPr>
                <w:b/>
                <w:sz w:val="16"/>
                <w:lang w:val="en-US"/>
              </w:rPr>
              <w:t>33</w:t>
            </w:r>
          </w:p>
          <w:p w14:paraId="28DC0DE4" w14:textId="77777777" w:rsidR="007348BC" w:rsidRPr="000907A8" w:rsidRDefault="007348BC" w:rsidP="007348BC">
            <w:pPr>
              <w:pStyle w:val="BodyText2"/>
              <w:jc w:val="center"/>
              <w:rPr>
                <w:sz w:val="16"/>
                <w:lang w:val="en-US"/>
              </w:rPr>
            </w:pPr>
            <w:proofErr w:type="spellStart"/>
            <w:r w:rsidRPr="00095F40">
              <w:rPr>
                <w:b/>
                <w:sz w:val="16"/>
                <w:lang w:val="en-US"/>
              </w:rPr>
              <w:t>Verwendung</w:t>
            </w:r>
            <w:proofErr w:type="spellEnd"/>
            <w:r w:rsidRPr="00095F40">
              <w:rPr>
                <w:b/>
                <w:sz w:val="16"/>
                <w:lang w:val="en-US"/>
              </w:rPr>
              <w:t xml:space="preserve"> des </w:t>
            </w:r>
            <w:proofErr w:type="spellStart"/>
            <w:r w:rsidRPr="00095F40">
              <w:rPr>
                <w:b/>
                <w:sz w:val="16"/>
                <w:lang w:val="en-US"/>
              </w:rPr>
              <w:t>Reingewinns</w:t>
            </w:r>
            <w:proofErr w:type="spellEnd"/>
          </w:p>
        </w:tc>
        <w:tc>
          <w:tcPr>
            <w:tcW w:w="596" w:type="dxa"/>
          </w:tcPr>
          <w:p w14:paraId="1D0DA53E" w14:textId="77777777" w:rsidR="007348BC" w:rsidRPr="000907A8" w:rsidRDefault="007348BC" w:rsidP="007348BC">
            <w:pPr>
              <w:pStyle w:val="BodyText2"/>
              <w:jc w:val="center"/>
              <w:rPr>
                <w:sz w:val="16"/>
                <w:lang w:val="en-US"/>
              </w:rPr>
            </w:pPr>
          </w:p>
        </w:tc>
        <w:tc>
          <w:tcPr>
            <w:tcW w:w="5074" w:type="dxa"/>
          </w:tcPr>
          <w:p w14:paraId="2F8904F4" w14:textId="77777777" w:rsidR="007348BC" w:rsidRDefault="007348BC" w:rsidP="007348BC">
            <w:pPr>
              <w:pStyle w:val="BodyText2"/>
              <w:ind w:left="317"/>
              <w:jc w:val="center"/>
              <w:rPr>
                <w:b/>
                <w:sz w:val="16"/>
                <w:lang w:val="en-US"/>
              </w:rPr>
            </w:pPr>
          </w:p>
          <w:p w14:paraId="368FDEC8" w14:textId="5190A6E1" w:rsidR="007348BC" w:rsidRPr="00BA0AF1" w:rsidRDefault="007348BC" w:rsidP="007348BC">
            <w:pPr>
              <w:pStyle w:val="BodyText2"/>
              <w:jc w:val="center"/>
              <w:rPr>
                <w:b/>
                <w:sz w:val="16"/>
                <w:lang w:val="en-US"/>
              </w:rPr>
            </w:pPr>
            <w:r w:rsidRPr="00BA0AF1">
              <w:rPr>
                <w:b/>
                <w:sz w:val="16"/>
                <w:lang w:val="en-US"/>
              </w:rPr>
              <w:t>Art. 3</w:t>
            </w:r>
            <w:r>
              <w:rPr>
                <w:b/>
                <w:sz w:val="16"/>
                <w:lang w:val="en-US"/>
              </w:rPr>
              <w:t>3</w:t>
            </w:r>
          </w:p>
          <w:p w14:paraId="486265D7" w14:textId="77777777" w:rsidR="007348BC" w:rsidRPr="00BA0AF1" w:rsidRDefault="007348BC" w:rsidP="007348BC">
            <w:pPr>
              <w:pStyle w:val="BodyText2"/>
              <w:jc w:val="center"/>
              <w:rPr>
                <w:b/>
                <w:sz w:val="16"/>
                <w:lang w:val="en-US"/>
              </w:rPr>
            </w:pPr>
            <w:r w:rsidRPr="00BA0AF1">
              <w:rPr>
                <w:b/>
                <w:sz w:val="16"/>
                <w:lang w:val="en-US"/>
              </w:rPr>
              <w:t>Appropriation of the profit available for distribution</w:t>
            </w:r>
          </w:p>
          <w:p w14:paraId="01E9B204" w14:textId="77777777" w:rsidR="007348BC" w:rsidRPr="00BA0AF1" w:rsidRDefault="007348BC" w:rsidP="007348BC">
            <w:pPr>
              <w:pStyle w:val="BodyText2"/>
              <w:ind w:left="317"/>
              <w:jc w:val="center"/>
              <w:rPr>
                <w:sz w:val="16"/>
                <w:lang w:val="en-US"/>
              </w:rPr>
            </w:pPr>
          </w:p>
        </w:tc>
      </w:tr>
      <w:tr w:rsidR="007348BC" w:rsidRPr="00937FAC" w14:paraId="0F5456CB" w14:textId="77777777" w:rsidTr="00846CDA">
        <w:trPr>
          <w:trHeight w:val="382"/>
        </w:trPr>
        <w:tc>
          <w:tcPr>
            <w:tcW w:w="4962" w:type="dxa"/>
          </w:tcPr>
          <w:p w14:paraId="1C226382" w14:textId="144071E1" w:rsidR="007348BC" w:rsidRPr="00835146" w:rsidRDefault="007348BC" w:rsidP="007348BC">
            <w:pPr>
              <w:pStyle w:val="BodyText2"/>
              <w:numPr>
                <w:ilvl w:val="0"/>
                <w:numId w:val="14"/>
              </w:numPr>
              <w:spacing w:before="60"/>
              <w:ind w:left="425" w:hanging="425"/>
              <w:rPr>
                <w:sz w:val="16"/>
              </w:rPr>
            </w:pPr>
            <w:r w:rsidRPr="007C4D87">
              <w:rPr>
                <w:sz w:val="16"/>
              </w:rPr>
              <w:t>Über den Bilanzgewinn und insbesondere über die Höhe der Dividende beschliesst die Generalversammlung nach ihrem Ermessen im Rahmen der zwingenden gesetzlichen Bestimmungen.</w:t>
            </w:r>
          </w:p>
        </w:tc>
        <w:tc>
          <w:tcPr>
            <w:tcW w:w="596" w:type="dxa"/>
            <w:vMerge w:val="restart"/>
          </w:tcPr>
          <w:p w14:paraId="6E502B2B" w14:textId="77777777" w:rsidR="007348BC" w:rsidRPr="00095F40" w:rsidRDefault="007348BC" w:rsidP="007348BC">
            <w:pPr>
              <w:pStyle w:val="BodyText2"/>
              <w:ind w:left="425" w:hanging="425"/>
              <w:rPr>
                <w:sz w:val="16"/>
              </w:rPr>
            </w:pPr>
          </w:p>
        </w:tc>
        <w:tc>
          <w:tcPr>
            <w:tcW w:w="5074" w:type="dxa"/>
          </w:tcPr>
          <w:p w14:paraId="35F83D4C" w14:textId="58798C9D" w:rsidR="007348BC" w:rsidRPr="00835146" w:rsidRDefault="007348BC" w:rsidP="00C825D6">
            <w:pPr>
              <w:pStyle w:val="BodyText2"/>
              <w:numPr>
                <w:ilvl w:val="0"/>
                <w:numId w:val="55"/>
              </w:numPr>
              <w:spacing w:before="60"/>
              <w:ind w:left="425" w:hanging="425"/>
              <w:rPr>
                <w:sz w:val="16"/>
                <w:lang w:val="en-US"/>
              </w:rPr>
            </w:pPr>
            <w:r w:rsidRPr="00D95779">
              <w:rPr>
                <w:sz w:val="16"/>
                <w:lang w:val="en-US"/>
              </w:rPr>
              <w:t xml:space="preserve">Subject to mandatory statutory provisions, the General Meeting may allocate the profits shown </w:t>
            </w:r>
            <w:proofErr w:type="gramStart"/>
            <w:r w:rsidRPr="00D95779">
              <w:rPr>
                <w:sz w:val="16"/>
                <w:lang w:val="en-US"/>
              </w:rPr>
              <w:t>in</w:t>
            </w:r>
            <w:proofErr w:type="gramEnd"/>
            <w:r w:rsidRPr="00D95779">
              <w:rPr>
                <w:sz w:val="16"/>
                <w:lang w:val="en-US"/>
              </w:rPr>
              <w:t xml:space="preserve"> the balance sheet, and </w:t>
            </w:r>
            <w:proofErr w:type="gramStart"/>
            <w:r w:rsidRPr="00D95779">
              <w:rPr>
                <w:sz w:val="16"/>
                <w:lang w:val="en-US"/>
              </w:rPr>
              <w:t>in particular determine</w:t>
            </w:r>
            <w:proofErr w:type="gramEnd"/>
            <w:r w:rsidRPr="00D95779">
              <w:rPr>
                <w:sz w:val="16"/>
                <w:lang w:val="en-US"/>
              </w:rPr>
              <w:t xml:space="preserve"> the amount of the dividend, at its discretion.</w:t>
            </w:r>
          </w:p>
        </w:tc>
      </w:tr>
      <w:tr w:rsidR="007348BC" w:rsidRPr="00937FAC" w14:paraId="689D856D" w14:textId="77777777" w:rsidTr="00846CDA">
        <w:trPr>
          <w:trHeight w:val="382"/>
        </w:trPr>
        <w:tc>
          <w:tcPr>
            <w:tcW w:w="4962" w:type="dxa"/>
          </w:tcPr>
          <w:p w14:paraId="5BDC95EE" w14:textId="3F1FFC91" w:rsidR="007348BC" w:rsidRPr="007C4D87" w:rsidRDefault="007348BC" w:rsidP="007348BC">
            <w:pPr>
              <w:pStyle w:val="BodyText2"/>
              <w:numPr>
                <w:ilvl w:val="0"/>
                <w:numId w:val="14"/>
              </w:numPr>
              <w:spacing w:before="60"/>
              <w:ind w:left="425" w:hanging="425"/>
              <w:rPr>
                <w:sz w:val="16"/>
              </w:rPr>
            </w:pPr>
            <w:r w:rsidRPr="007C4D87">
              <w:rPr>
                <w:sz w:val="16"/>
              </w:rPr>
              <w:t>Dividenden und vergleichbare Ausschüttungen, welche innerhalb von fünf Jahren nach ihrer Fälligkeit nicht bezogen worden sind, verjähren und verfallen zugunsten der Gesellschaft.</w:t>
            </w:r>
          </w:p>
        </w:tc>
        <w:tc>
          <w:tcPr>
            <w:tcW w:w="596" w:type="dxa"/>
            <w:vMerge/>
          </w:tcPr>
          <w:p w14:paraId="3870A959" w14:textId="77777777" w:rsidR="007348BC" w:rsidRPr="00095F40" w:rsidRDefault="007348BC" w:rsidP="007348BC">
            <w:pPr>
              <w:pStyle w:val="BodyText2"/>
              <w:ind w:left="425" w:hanging="425"/>
              <w:rPr>
                <w:sz w:val="16"/>
              </w:rPr>
            </w:pPr>
          </w:p>
        </w:tc>
        <w:tc>
          <w:tcPr>
            <w:tcW w:w="5074" w:type="dxa"/>
          </w:tcPr>
          <w:p w14:paraId="551D85A9" w14:textId="357DF709" w:rsidR="007348BC" w:rsidRPr="00D95779" w:rsidRDefault="007348BC" w:rsidP="00C825D6">
            <w:pPr>
              <w:pStyle w:val="BodyText2"/>
              <w:numPr>
                <w:ilvl w:val="0"/>
                <w:numId w:val="55"/>
              </w:numPr>
              <w:spacing w:before="60"/>
              <w:ind w:left="425" w:hanging="425"/>
              <w:rPr>
                <w:sz w:val="16"/>
                <w:lang w:val="en-US"/>
              </w:rPr>
            </w:pPr>
            <w:r w:rsidRPr="00D95779">
              <w:rPr>
                <w:sz w:val="16"/>
                <w:lang w:val="en-US"/>
              </w:rPr>
              <w:t>Dividends and similar distributions which have not been collected within five years after their due date shall lapse and accrue to the Company.</w:t>
            </w:r>
          </w:p>
        </w:tc>
      </w:tr>
      <w:tr w:rsidR="007348BC" w:rsidRPr="00937FAC" w14:paraId="042DF2C7" w14:textId="77777777" w:rsidTr="00846CDA">
        <w:tc>
          <w:tcPr>
            <w:tcW w:w="4962" w:type="dxa"/>
          </w:tcPr>
          <w:p w14:paraId="3192567B" w14:textId="77777777" w:rsidR="007348BC" w:rsidRDefault="007348BC" w:rsidP="007348BC">
            <w:pPr>
              <w:pStyle w:val="BodyText2"/>
              <w:ind w:left="340"/>
              <w:jc w:val="center"/>
              <w:rPr>
                <w:sz w:val="16"/>
                <w:lang w:val="en-US"/>
              </w:rPr>
            </w:pPr>
          </w:p>
          <w:p w14:paraId="560C7104" w14:textId="77777777" w:rsidR="007348BC" w:rsidRPr="00095F40" w:rsidRDefault="007348BC" w:rsidP="007348BC">
            <w:pPr>
              <w:pStyle w:val="BodyText2"/>
              <w:jc w:val="center"/>
              <w:rPr>
                <w:b/>
                <w:sz w:val="16"/>
              </w:rPr>
            </w:pPr>
            <w:r w:rsidRPr="00095F40">
              <w:rPr>
                <w:b/>
                <w:sz w:val="16"/>
              </w:rPr>
              <w:t>6. Auflösung und Liquidation der Gesellschaft</w:t>
            </w:r>
          </w:p>
        </w:tc>
        <w:tc>
          <w:tcPr>
            <w:tcW w:w="596" w:type="dxa"/>
          </w:tcPr>
          <w:p w14:paraId="36589978" w14:textId="77777777" w:rsidR="007348BC" w:rsidRPr="00095F40" w:rsidRDefault="007348BC" w:rsidP="007348BC">
            <w:pPr>
              <w:pStyle w:val="BodyText2"/>
              <w:jc w:val="center"/>
              <w:rPr>
                <w:sz w:val="16"/>
              </w:rPr>
            </w:pPr>
          </w:p>
        </w:tc>
        <w:tc>
          <w:tcPr>
            <w:tcW w:w="5074" w:type="dxa"/>
          </w:tcPr>
          <w:p w14:paraId="00046378" w14:textId="77777777" w:rsidR="007348BC" w:rsidRPr="00095F40" w:rsidRDefault="007348BC" w:rsidP="007348BC">
            <w:pPr>
              <w:pStyle w:val="BodyText2"/>
              <w:jc w:val="center"/>
              <w:rPr>
                <w:b/>
                <w:sz w:val="16"/>
              </w:rPr>
            </w:pPr>
          </w:p>
          <w:p w14:paraId="4368A206" w14:textId="77777777" w:rsidR="007348BC" w:rsidRDefault="007348BC" w:rsidP="007348BC">
            <w:pPr>
              <w:pStyle w:val="BodyText2"/>
              <w:jc w:val="center"/>
              <w:rPr>
                <w:b/>
                <w:sz w:val="16"/>
                <w:lang w:val="en-US"/>
              </w:rPr>
            </w:pPr>
            <w:r>
              <w:rPr>
                <w:b/>
                <w:sz w:val="16"/>
                <w:lang w:val="en-US"/>
              </w:rPr>
              <w:t xml:space="preserve">6. </w:t>
            </w:r>
            <w:r w:rsidRPr="00C04909">
              <w:rPr>
                <w:b/>
                <w:sz w:val="16"/>
                <w:lang w:val="en-US"/>
              </w:rPr>
              <w:t xml:space="preserve">Winding up and liquidation of the </w:t>
            </w:r>
            <w:r>
              <w:rPr>
                <w:b/>
                <w:sz w:val="16"/>
                <w:lang w:val="en-US"/>
              </w:rPr>
              <w:t>C</w:t>
            </w:r>
            <w:r w:rsidRPr="00C04909">
              <w:rPr>
                <w:b/>
                <w:sz w:val="16"/>
                <w:lang w:val="en-US"/>
              </w:rPr>
              <w:t>ompany</w:t>
            </w:r>
          </w:p>
          <w:p w14:paraId="201C9933" w14:textId="77777777" w:rsidR="007348BC" w:rsidRPr="000907A8" w:rsidRDefault="007348BC" w:rsidP="007348BC">
            <w:pPr>
              <w:pStyle w:val="BodyText2"/>
              <w:jc w:val="center"/>
              <w:rPr>
                <w:sz w:val="16"/>
                <w:lang w:val="en-US"/>
              </w:rPr>
            </w:pPr>
          </w:p>
        </w:tc>
      </w:tr>
      <w:tr w:rsidR="007348BC" w:rsidRPr="00937FAC" w14:paraId="6554A714" w14:textId="77777777" w:rsidTr="00846CDA">
        <w:tc>
          <w:tcPr>
            <w:tcW w:w="4962" w:type="dxa"/>
          </w:tcPr>
          <w:p w14:paraId="71C76713" w14:textId="77777777" w:rsidR="007348BC" w:rsidRDefault="007348BC" w:rsidP="007348BC">
            <w:pPr>
              <w:pStyle w:val="BodyText2"/>
              <w:ind w:left="340"/>
              <w:jc w:val="center"/>
              <w:rPr>
                <w:sz w:val="16"/>
                <w:lang w:val="en-US"/>
              </w:rPr>
            </w:pPr>
          </w:p>
          <w:p w14:paraId="09CA393E" w14:textId="6D323A37" w:rsidR="007348BC" w:rsidRPr="00095F40" w:rsidRDefault="007348BC" w:rsidP="007348BC">
            <w:pPr>
              <w:pStyle w:val="BodyText2"/>
              <w:tabs>
                <w:tab w:val="left" w:pos="472"/>
                <w:tab w:val="center" w:pos="2373"/>
              </w:tabs>
              <w:jc w:val="center"/>
              <w:rPr>
                <w:b/>
                <w:sz w:val="16"/>
              </w:rPr>
            </w:pPr>
            <w:r w:rsidRPr="00095F40">
              <w:rPr>
                <w:b/>
                <w:sz w:val="16"/>
              </w:rPr>
              <w:t>Art. 3</w:t>
            </w:r>
            <w:r>
              <w:rPr>
                <w:b/>
                <w:sz w:val="16"/>
              </w:rPr>
              <w:t>4</w:t>
            </w:r>
          </w:p>
          <w:p w14:paraId="2E02C462" w14:textId="77777777" w:rsidR="007348BC" w:rsidRPr="00095F40" w:rsidRDefault="007348BC" w:rsidP="007348BC">
            <w:pPr>
              <w:pStyle w:val="BodyText2"/>
              <w:jc w:val="center"/>
              <w:rPr>
                <w:sz w:val="16"/>
              </w:rPr>
            </w:pPr>
            <w:r w:rsidRPr="00095F40">
              <w:rPr>
                <w:b/>
                <w:sz w:val="16"/>
              </w:rPr>
              <w:t>Auflösung und Liquidation der Gesellschaft</w:t>
            </w:r>
          </w:p>
        </w:tc>
        <w:tc>
          <w:tcPr>
            <w:tcW w:w="596" w:type="dxa"/>
          </w:tcPr>
          <w:p w14:paraId="3B34BAAB" w14:textId="77777777" w:rsidR="007348BC" w:rsidRPr="00095F40" w:rsidRDefault="007348BC" w:rsidP="007348BC">
            <w:pPr>
              <w:pStyle w:val="BodyText2"/>
              <w:jc w:val="center"/>
              <w:rPr>
                <w:sz w:val="16"/>
              </w:rPr>
            </w:pPr>
          </w:p>
        </w:tc>
        <w:tc>
          <w:tcPr>
            <w:tcW w:w="5074" w:type="dxa"/>
          </w:tcPr>
          <w:p w14:paraId="70EA0E81" w14:textId="77777777" w:rsidR="007348BC" w:rsidRPr="00095F40" w:rsidRDefault="007348BC" w:rsidP="007348BC">
            <w:pPr>
              <w:pStyle w:val="BodyText2"/>
              <w:ind w:left="317"/>
              <w:jc w:val="center"/>
              <w:rPr>
                <w:b/>
                <w:sz w:val="16"/>
              </w:rPr>
            </w:pPr>
          </w:p>
          <w:p w14:paraId="5E3B69A4" w14:textId="544F2D84" w:rsidR="007348BC" w:rsidRPr="00C04909" w:rsidRDefault="007348BC" w:rsidP="007348BC">
            <w:pPr>
              <w:pStyle w:val="BodyText2"/>
              <w:jc w:val="center"/>
              <w:rPr>
                <w:b/>
                <w:sz w:val="16"/>
                <w:lang w:val="en-US"/>
              </w:rPr>
            </w:pPr>
            <w:r>
              <w:rPr>
                <w:b/>
                <w:sz w:val="16"/>
                <w:lang w:val="en-US"/>
              </w:rPr>
              <w:t>Art.</w:t>
            </w:r>
            <w:r w:rsidRPr="00C04909">
              <w:rPr>
                <w:b/>
                <w:sz w:val="16"/>
                <w:lang w:val="en-US"/>
              </w:rPr>
              <w:t xml:space="preserve"> 3</w:t>
            </w:r>
            <w:r>
              <w:rPr>
                <w:b/>
                <w:sz w:val="16"/>
                <w:lang w:val="en-US"/>
              </w:rPr>
              <w:t>4</w:t>
            </w:r>
          </w:p>
          <w:p w14:paraId="28509F4E" w14:textId="77777777" w:rsidR="007348BC" w:rsidRDefault="007348BC" w:rsidP="007348BC">
            <w:pPr>
              <w:pStyle w:val="BodyText2"/>
              <w:jc w:val="center"/>
              <w:rPr>
                <w:b/>
                <w:sz w:val="16"/>
                <w:lang w:val="en-US"/>
              </w:rPr>
            </w:pPr>
            <w:r w:rsidRPr="00C04909">
              <w:rPr>
                <w:b/>
                <w:sz w:val="16"/>
                <w:lang w:val="en-US"/>
              </w:rPr>
              <w:t xml:space="preserve">Winding up and liquidation of the </w:t>
            </w:r>
            <w:r>
              <w:rPr>
                <w:b/>
                <w:sz w:val="16"/>
                <w:lang w:val="en-US"/>
              </w:rPr>
              <w:t>C</w:t>
            </w:r>
            <w:r w:rsidRPr="00C04909">
              <w:rPr>
                <w:b/>
                <w:sz w:val="16"/>
                <w:lang w:val="en-US"/>
              </w:rPr>
              <w:t>ompany</w:t>
            </w:r>
          </w:p>
          <w:p w14:paraId="37FC4E4D" w14:textId="77777777" w:rsidR="007348BC" w:rsidRPr="000907A8" w:rsidRDefault="007348BC" w:rsidP="007348BC">
            <w:pPr>
              <w:pStyle w:val="BodyText2"/>
              <w:ind w:left="317"/>
              <w:jc w:val="center"/>
              <w:rPr>
                <w:sz w:val="16"/>
                <w:lang w:val="en-US"/>
              </w:rPr>
            </w:pPr>
          </w:p>
        </w:tc>
      </w:tr>
      <w:tr w:rsidR="007348BC" w:rsidRPr="00937FAC" w14:paraId="6899878E" w14:textId="77777777" w:rsidTr="00846CDA">
        <w:trPr>
          <w:trHeight w:val="405"/>
        </w:trPr>
        <w:tc>
          <w:tcPr>
            <w:tcW w:w="4962" w:type="dxa"/>
          </w:tcPr>
          <w:p w14:paraId="1A333F36" w14:textId="6D7D1067" w:rsidR="007348BC" w:rsidRPr="008871B6" w:rsidRDefault="007348BC" w:rsidP="007348BC">
            <w:pPr>
              <w:pStyle w:val="BodyText2"/>
              <w:numPr>
                <w:ilvl w:val="0"/>
                <w:numId w:val="15"/>
              </w:numPr>
              <w:spacing w:before="60"/>
              <w:ind w:left="425" w:hanging="425"/>
              <w:rPr>
                <w:sz w:val="16"/>
              </w:rPr>
            </w:pPr>
            <w:r w:rsidRPr="007C4D87">
              <w:rPr>
                <w:sz w:val="16"/>
              </w:rPr>
              <w:t>Die Generalversammlung kann jederzeit die Auflösung und Liquidation der Gesellschaft nach Massgabe der gesetzlichen und statuarischen Vorschriften beschliessen.</w:t>
            </w:r>
          </w:p>
        </w:tc>
        <w:tc>
          <w:tcPr>
            <w:tcW w:w="596" w:type="dxa"/>
            <w:vMerge w:val="restart"/>
          </w:tcPr>
          <w:p w14:paraId="3B0CADB8" w14:textId="77777777" w:rsidR="007348BC" w:rsidRPr="00B05B80" w:rsidRDefault="007348BC" w:rsidP="007348BC">
            <w:pPr>
              <w:pStyle w:val="BodyText2"/>
              <w:ind w:left="425" w:hanging="425"/>
              <w:rPr>
                <w:sz w:val="16"/>
              </w:rPr>
            </w:pPr>
          </w:p>
        </w:tc>
        <w:tc>
          <w:tcPr>
            <w:tcW w:w="5074" w:type="dxa"/>
          </w:tcPr>
          <w:p w14:paraId="5A4372D7" w14:textId="5C836B23" w:rsidR="007348BC" w:rsidRPr="008871B6" w:rsidRDefault="007348BC" w:rsidP="00C825D6">
            <w:pPr>
              <w:pStyle w:val="BodyText2"/>
              <w:numPr>
                <w:ilvl w:val="0"/>
                <w:numId w:val="56"/>
              </w:numPr>
              <w:spacing w:before="60"/>
              <w:ind w:left="425" w:hanging="425"/>
              <w:rPr>
                <w:sz w:val="16"/>
                <w:lang w:val="en-US"/>
              </w:rPr>
            </w:pPr>
            <w:r w:rsidRPr="00D95779">
              <w:rPr>
                <w:sz w:val="16"/>
                <w:lang w:val="en-US"/>
              </w:rPr>
              <w:t>The General Meeting may at any time resolve the dissolution and liquidation of the Company in accordance with the law and these Articles of Association.</w:t>
            </w:r>
          </w:p>
        </w:tc>
      </w:tr>
      <w:tr w:rsidR="007348BC" w:rsidRPr="00937FAC" w14:paraId="3A082608" w14:textId="77777777" w:rsidTr="00846CDA">
        <w:trPr>
          <w:trHeight w:val="402"/>
        </w:trPr>
        <w:tc>
          <w:tcPr>
            <w:tcW w:w="4962" w:type="dxa"/>
          </w:tcPr>
          <w:p w14:paraId="2695A1C5" w14:textId="65746D3D" w:rsidR="007348BC" w:rsidRPr="0019026A" w:rsidRDefault="007348BC" w:rsidP="007348BC">
            <w:pPr>
              <w:pStyle w:val="BodyText2"/>
              <w:numPr>
                <w:ilvl w:val="0"/>
                <w:numId w:val="15"/>
              </w:numPr>
              <w:spacing w:before="60"/>
              <w:ind w:left="425" w:hanging="425"/>
              <w:rPr>
                <w:sz w:val="16"/>
              </w:rPr>
            </w:pPr>
            <w:r w:rsidRPr="007C4D87">
              <w:rPr>
                <w:sz w:val="16"/>
              </w:rPr>
              <w:t>Die Liquidation wird durch den dann im Amt befindlichen Verwaltungsrat durchgeführt, sofern die Generalversammlung nicht andere Personen als Liquidatoren bestellt.</w:t>
            </w:r>
          </w:p>
        </w:tc>
        <w:tc>
          <w:tcPr>
            <w:tcW w:w="596" w:type="dxa"/>
            <w:vMerge/>
          </w:tcPr>
          <w:p w14:paraId="556BDA02" w14:textId="77777777" w:rsidR="007348BC" w:rsidRPr="00B05B80" w:rsidRDefault="007348BC" w:rsidP="007348BC">
            <w:pPr>
              <w:pStyle w:val="BodyText2"/>
              <w:ind w:left="425" w:hanging="425"/>
              <w:rPr>
                <w:sz w:val="16"/>
              </w:rPr>
            </w:pPr>
          </w:p>
        </w:tc>
        <w:tc>
          <w:tcPr>
            <w:tcW w:w="5074" w:type="dxa"/>
          </w:tcPr>
          <w:p w14:paraId="25975798" w14:textId="171A8E1D" w:rsidR="007348BC" w:rsidRPr="008871B6" w:rsidRDefault="007348BC" w:rsidP="00C825D6">
            <w:pPr>
              <w:pStyle w:val="BodyText2"/>
              <w:numPr>
                <w:ilvl w:val="0"/>
                <w:numId w:val="56"/>
              </w:numPr>
              <w:spacing w:before="60"/>
              <w:ind w:left="425" w:hanging="425"/>
              <w:rPr>
                <w:sz w:val="16"/>
                <w:lang w:val="en-US"/>
              </w:rPr>
            </w:pPr>
            <w:r w:rsidRPr="00D95779">
              <w:rPr>
                <w:sz w:val="16"/>
                <w:lang w:val="en-US"/>
              </w:rPr>
              <w:t xml:space="preserve">The liquidation shall be carried out by the Board of Directors then in office, unless the General Meeting appoints other </w:t>
            </w:r>
            <w:proofErr w:type="gramStart"/>
            <w:r w:rsidRPr="00D95779">
              <w:rPr>
                <w:sz w:val="16"/>
                <w:lang w:val="en-US"/>
              </w:rPr>
              <w:t>persons</w:t>
            </w:r>
            <w:proofErr w:type="gramEnd"/>
            <w:r w:rsidRPr="00D95779">
              <w:rPr>
                <w:sz w:val="16"/>
                <w:lang w:val="en-US"/>
              </w:rPr>
              <w:t xml:space="preserve"> as liquidators.</w:t>
            </w:r>
          </w:p>
        </w:tc>
      </w:tr>
      <w:tr w:rsidR="007348BC" w:rsidRPr="00937FAC" w14:paraId="25E0099C" w14:textId="77777777" w:rsidTr="00846CDA">
        <w:trPr>
          <w:trHeight w:val="402"/>
        </w:trPr>
        <w:tc>
          <w:tcPr>
            <w:tcW w:w="4962" w:type="dxa"/>
          </w:tcPr>
          <w:p w14:paraId="65A7C324" w14:textId="718588FF" w:rsidR="007348BC" w:rsidRPr="0019026A" w:rsidRDefault="007348BC" w:rsidP="007348BC">
            <w:pPr>
              <w:pStyle w:val="BodyText2"/>
              <w:numPr>
                <w:ilvl w:val="0"/>
                <w:numId w:val="15"/>
              </w:numPr>
              <w:spacing w:before="60"/>
              <w:ind w:left="425" w:hanging="425"/>
              <w:rPr>
                <w:sz w:val="16"/>
              </w:rPr>
            </w:pPr>
            <w:r w:rsidRPr="007C4D87">
              <w:rPr>
                <w:sz w:val="16"/>
              </w:rPr>
              <w:t>Die Liquidatoren haben uneingeschränkte Kompetenzen und Befugnisse, das gesamte Gesellschaftsvermögen zu liquidieren und die Gesellschaft abzuwickeln.</w:t>
            </w:r>
          </w:p>
        </w:tc>
        <w:tc>
          <w:tcPr>
            <w:tcW w:w="596" w:type="dxa"/>
            <w:vMerge/>
          </w:tcPr>
          <w:p w14:paraId="6FF62BCB" w14:textId="77777777" w:rsidR="007348BC" w:rsidRPr="00B05B80" w:rsidRDefault="007348BC" w:rsidP="007348BC">
            <w:pPr>
              <w:pStyle w:val="BodyText2"/>
              <w:ind w:left="425" w:hanging="425"/>
              <w:rPr>
                <w:sz w:val="16"/>
              </w:rPr>
            </w:pPr>
          </w:p>
        </w:tc>
        <w:tc>
          <w:tcPr>
            <w:tcW w:w="5074" w:type="dxa"/>
          </w:tcPr>
          <w:p w14:paraId="51FB0447" w14:textId="78757B62" w:rsidR="007348BC" w:rsidRPr="008871B6" w:rsidRDefault="007348BC" w:rsidP="00C825D6">
            <w:pPr>
              <w:pStyle w:val="BodyText2"/>
              <w:numPr>
                <w:ilvl w:val="0"/>
                <w:numId w:val="56"/>
              </w:numPr>
              <w:spacing w:before="60"/>
              <w:ind w:left="425" w:hanging="425"/>
              <w:rPr>
                <w:sz w:val="16"/>
                <w:lang w:val="en-US"/>
              </w:rPr>
            </w:pPr>
            <w:r w:rsidRPr="00D95779">
              <w:rPr>
                <w:sz w:val="16"/>
                <w:lang w:val="en-US"/>
              </w:rPr>
              <w:t>The liquidators shall have unencumbered power and authority to liquidate all corporate assets and wind up the Company.</w:t>
            </w:r>
          </w:p>
        </w:tc>
      </w:tr>
      <w:tr w:rsidR="007348BC" w:rsidRPr="00937FAC" w14:paraId="24ADF809" w14:textId="77777777" w:rsidTr="00846CDA">
        <w:trPr>
          <w:trHeight w:val="402"/>
        </w:trPr>
        <w:tc>
          <w:tcPr>
            <w:tcW w:w="4962" w:type="dxa"/>
          </w:tcPr>
          <w:p w14:paraId="1EDD7C24" w14:textId="7A5506CF" w:rsidR="007348BC" w:rsidRPr="007C4D87" w:rsidRDefault="007348BC" w:rsidP="007348BC">
            <w:pPr>
              <w:pStyle w:val="BodyText2"/>
              <w:numPr>
                <w:ilvl w:val="0"/>
                <w:numId w:val="15"/>
              </w:numPr>
              <w:spacing w:before="60"/>
              <w:ind w:left="425" w:hanging="425"/>
              <w:rPr>
                <w:sz w:val="16"/>
              </w:rPr>
            </w:pPr>
            <w:r w:rsidRPr="007C4D87">
              <w:rPr>
                <w:sz w:val="16"/>
              </w:rPr>
              <w:t>Nach erfolgter Tilgung sämtlicher Schulden wird das Vermögen der Gesellschaft unter die Aktionäre nach Massgabe der Nennwerte ihrer Aktien verteilt. Sämtliche durch die Aktionäre nicht einbezahlten Beträge werden mit der Konkursdividende verrechnet.</w:t>
            </w:r>
          </w:p>
        </w:tc>
        <w:tc>
          <w:tcPr>
            <w:tcW w:w="596" w:type="dxa"/>
            <w:vMerge/>
          </w:tcPr>
          <w:p w14:paraId="31F03C15" w14:textId="77777777" w:rsidR="007348BC" w:rsidRPr="00B05B80" w:rsidRDefault="007348BC" w:rsidP="007348BC">
            <w:pPr>
              <w:pStyle w:val="BodyText2"/>
              <w:ind w:left="425" w:hanging="425"/>
              <w:rPr>
                <w:sz w:val="16"/>
              </w:rPr>
            </w:pPr>
          </w:p>
        </w:tc>
        <w:tc>
          <w:tcPr>
            <w:tcW w:w="5074" w:type="dxa"/>
          </w:tcPr>
          <w:p w14:paraId="683DC4A6" w14:textId="10485EA2" w:rsidR="007348BC" w:rsidRPr="008871B6" w:rsidRDefault="007348BC" w:rsidP="00C825D6">
            <w:pPr>
              <w:pStyle w:val="BodyText2"/>
              <w:numPr>
                <w:ilvl w:val="0"/>
                <w:numId w:val="56"/>
              </w:numPr>
              <w:spacing w:before="60"/>
              <w:ind w:left="425" w:hanging="425"/>
              <w:rPr>
                <w:sz w:val="16"/>
                <w:lang w:val="en-US"/>
              </w:rPr>
            </w:pPr>
            <w:r w:rsidRPr="00D95779">
              <w:rPr>
                <w:sz w:val="16"/>
                <w:lang w:val="en-US"/>
              </w:rPr>
              <w:t xml:space="preserve">Upon discharge of all liabilities, the assets of the Company shall be distributed to the shareholders proportional to the nominal values of their shares. Any amount not </w:t>
            </w:r>
            <w:proofErr w:type="gramStart"/>
            <w:r w:rsidRPr="00D95779">
              <w:rPr>
                <w:sz w:val="16"/>
                <w:lang w:val="en-US"/>
              </w:rPr>
              <w:t>paid in</w:t>
            </w:r>
            <w:proofErr w:type="gramEnd"/>
            <w:r w:rsidRPr="00D95779">
              <w:rPr>
                <w:sz w:val="16"/>
                <w:lang w:val="en-US"/>
              </w:rPr>
              <w:t xml:space="preserve"> by shareholders shall be set off against the liquidation dividend.</w:t>
            </w:r>
          </w:p>
        </w:tc>
      </w:tr>
      <w:tr w:rsidR="007348BC" w:rsidRPr="00B214CF" w14:paraId="79479948" w14:textId="77777777" w:rsidTr="00846CDA">
        <w:tc>
          <w:tcPr>
            <w:tcW w:w="4962" w:type="dxa"/>
          </w:tcPr>
          <w:p w14:paraId="64F2508A" w14:textId="77777777" w:rsidR="007348BC" w:rsidRDefault="007348BC" w:rsidP="007348BC">
            <w:pPr>
              <w:pStyle w:val="BodyText2"/>
              <w:jc w:val="center"/>
              <w:rPr>
                <w:sz w:val="16"/>
                <w:lang w:val="en-US"/>
              </w:rPr>
            </w:pPr>
          </w:p>
          <w:p w14:paraId="3F08A4EF" w14:textId="77777777" w:rsidR="007348BC" w:rsidRPr="00B214CF" w:rsidRDefault="007348BC" w:rsidP="007348BC">
            <w:pPr>
              <w:pStyle w:val="BodyText2"/>
              <w:jc w:val="center"/>
              <w:rPr>
                <w:b/>
                <w:sz w:val="16"/>
              </w:rPr>
            </w:pPr>
            <w:r w:rsidRPr="00B214CF">
              <w:rPr>
                <w:b/>
                <w:sz w:val="16"/>
              </w:rPr>
              <w:t>7. Bekanntmachungen</w:t>
            </w:r>
            <w:r>
              <w:rPr>
                <w:b/>
                <w:sz w:val="16"/>
              </w:rPr>
              <w:t>, Gerichtsstand</w:t>
            </w:r>
          </w:p>
        </w:tc>
        <w:tc>
          <w:tcPr>
            <w:tcW w:w="596" w:type="dxa"/>
          </w:tcPr>
          <w:p w14:paraId="49AC46C1" w14:textId="77777777" w:rsidR="007348BC" w:rsidRPr="00B214CF" w:rsidRDefault="007348BC" w:rsidP="007348BC">
            <w:pPr>
              <w:pStyle w:val="BodyText2"/>
              <w:jc w:val="center"/>
              <w:rPr>
                <w:sz w:val="16"/>
              </w:rPr>
            </w:pPr>
          </w:p>
        </w:tc>
        <w:tc>
          <w:tcPr>
            <w:tcW w:w="5074" w:type="dxa"/>
          </w:tcPr>
          <w:p w14:paraId="71234376" w14:textId="77777777" w:rsidR="007348BC" w:rsidRPr="00B214CF" w:rsidRDefault="007348BC" w:rsidP="007348BC">
            <w:pPr>
              <w:pStyle w:val="BodyText2"/>
              <w:ind w:left="317"/>
              <w:jc w:val="center"/>
              <w:rPr>
                <w:b/>
                <w:sz w:val="16"/>
              </w:rPr>
            </w:pPr>
          </w:p>
          <w:p w14:paraId="70DFEE8A" w14:textId="77777777" w:rsidR="007348BC" w:rsidRPr="00B214CF" w:rsidRDefault="007348BC" w:rsidP="007348BC">
            <w:pPr>
              <w:pStyle w:val="BodyText2"/>
              <w:jc w:val="center"/>
              <w:rPr>
                <w:b/>
                <w:sz w:val="16"/>
              </w:rPr>
            </w:pPr>
            <w:r w:rsidRPr="00B214CF">
              <w:rPr>
                <w:b/>
                <w:sz w:val="16"/>
              </w:rPr>
              <w:t xml:space="preserve">7. Communications and </w:t>
            </w:r>
            <w:proofErr w:type="spellStart"/>
            <w:r w:rsidRPr="00B214CF">
              <w:rPr>
                <w:b/>
                <w:sz w:val="16"/>
              </w:rPr>
              <w:t>notices</w:t>
            </w:r>
            <w:proofErr w:type="spellEnd"/>
            <w:r>
              <w:rPr>
                <w:b/>
                <w:sz w:val="16"/>
              </w:rPr>
              <w:t xml:space="preserve">, </w:t>
            </w:r>
            <w:proofErr w:type="spellStart"/>
            <w:r>
              <w:rPr>
                <w:b/>
                <w:sz w:val="16"/>
              </w:rPr>
              <w:t>Jurisdiction</w:t>
            </w:r>
            <w:proofErr w:type="spellEnd"/>
          </w:p>
          <w:p w14:paraId="59CF1AE5" w14:textId="77777777" w:rsidR="007348BC" w:rsidRPr="00B214CF" w:rsidRDefault="007348BC" w:rsidP="007348BC">
            <w:pPr>
              <w:pStyle w:val="BodyText2"/>
              <w:ind w:left="317"/>
              <w:jc w:val="center"/>
              <w:rPr>
                <w:b/>
                <w:sz w:val="16"/>
              </w:rPr>
            </w:pPr>
          </w:p>
        </w:tc>
      </w:tr>
      <w:tr w:rsidR="007348BC" w:rsidRPr="00B214CF" w14:paraId="37BCD1D0" w14:textId="77777777" w:rsidTr="00846CDA">
        <w:tc>
          <w:tcPr>
            <w:tcW w:w="4962" w:type="dxa"/>
          </w:tcPr>
          <w:p w14:paraId="4AD0540B" w14:textId="77777777" w:rsidR="007348BC" w:rsidRPr="00B214CF" w:rsidRDefault="007348BC" w:rsidP="007348BC">
            <w:pPr>
              <w:pStyle w:val="BodyText2"/>
              <w:ind w:left="340"/>
              <w:jc w:val="center"/>
              <w:rPr>
                <w:sz w:val="16"/>
              </w:rPr>
            </w:pPr>
          </w:p>
          <w:p w14:paraId="3535119F" w14:textId="7C9205A7" w:rsidR="007348BC" w:rsidRPr="00B214CF" w:rsidRDefault="007348BC" w:rsidP="007348BC">
            <w:pPr>
              <w:pStyle w:val="BodyText2"/>
              <w:jc w:val="center"/>
              <w:rPr>
                <w:b/>
                <w:sz w:val="16"/>
              </w:rPr>
            </w:pPr>
            <w:r w:rsidRPr="00B214CF">
              <w:rPr>
                <w:b/>
                <w:sz w:val="16"/>
              </w:rPr>
              <w:t>Art. 3</w:t>
            </w:r>
            <w:r>
              <w:rPr>
                <w:b/>
                <w:sz w:val="16"/>
              </w:rPr>
              <w:t>5</w:t>
            </w:r>
          </w:p>
          <w:p w14:paraId="4FF1E29E" w14:textId="77777777" w:rsidR="007348BC" w:rsidRPr="00B214CF" w:rsidRDefault="007348BC" w:rsidP="007348BC">
            <w:pPr>
              <w:pStyle w:val="BodyText2"/>
              <w:jc w:val="center"/>
              <w:rPr>
                <w:sz w:val="16"/>
              </w:rPr>
            </w:pPr>
            <w:r w:rsidRPr="00B214CF">
              <w:rPr>
                <w:b/>
                <w:sz w:val="16"/>
              </w:rPr>
              <w:t>Publikationsorgan</w:t>
            </w:r>
          </w:p>
        </w:tc>
        <w:tc>
          <w:tcPr>
            <w:tcW w:w="596" w:type="dxa"/>
          </w:tcPr>
          <w:p w14:paraId="0D8FA9C8" w14:textId="77777777" w:rsidR="007348BC" w:rsidRPr="00B214CF" w:rsidRDefault="007348BC" w:rsidP="007348BC">
            <w:pPr>
              <w:pStyle w:val="BodyText2"/>
              <w:jc w:val="center"/>
              <w:rPr>
                <w:sz w:val="16"/>
              </w:rPr>
            </w:pPr>
          </w:p>
        </w:tc>
        <w:tc>
          <w:tcPr>
            <w:tcW w:w="5074" w:type="dxa"/>
          </w:tcPr>
          <w:p w14:paraId="5B712416" w14:textId="77777777" w:rsidR="007348BC" w:rsidRPr="00B214CF" w:rsidRDefault="007348BC" w:rsidP="007348BC">
            <w:pPr>
              <w:pStyle w:val="BodyText2"/>
              <w:ind w:left="317"/>
              <w:jc w:val="center"/>
              <w:rPr>
                <w:b/>
                <w:sz w:val="16"/>
              </w:rPr>
            </w:pPr>
          </w:p>
          <w:p w14:paraId="1E82564E" w14:textId="08EFDCAB" w:rsidR="007348BC" w:rsidRPr="00B214CF" w:rsidRDefault="007348BC" w:rsidP="007348BC">
            <w:pPr>
              <w:pStyle w:val="BodyText2"/>
              <w:jc w:val="center"/>
              <w:rPr>
                <w:b/>
                <w:sz w:val="16"/>
              </w:rPr>
            </w:pPr>
            <w:r w:rsidRPr="00B214CF">
              <w:rPr>
                <w:b/>
                <w:sz w:val="16"/>
              </w:rPr>
              <w:t>Art. 3</w:t>
            </w:r>
            <w:r>
              <w:rPr>
                <w:b/>
                <w:sz w:val="16"/>
              </w:rPr>
              <w:t>5</w:t>
            </w:r>
          </w:p>
          <w:p w14:paraId="0935C0E9" w14:textId="77777777" w:rsidR="007348BC" w:rsidRPr="00B214CF" w:rsidRDefault="007348BC" w:rsidP="007348BC">
            <w:pPr>
              <w:pStyle w:val="BodyText2"/>
              <w:jc w:val="center"/>
              <w:rPr>
                <w:b/>
                <w:sz w:val="16"/>
              </w:rPr>
            </w:pPr>
            <w:r>
              <w:rPr>
                <w:b/>
                <w:sz w:val="16"/>
              </w:rPr>
              <w:t>Means</w:t>
            </w:r>
            <w:r w:rsidRPr="00B214CF">
              <w:rPr>
                <w:b/>
                <w:sz w:val="16"/>
              </w:rPr>
              <w:t xml:space="preserve"> </w:t>
            </w:r>
            <w:proofErr w:type="spellStart"/>
            <w:r w:rsidRPr="00B214CF">
              <w:rPr>
                <w:b/>
                <w:sz w:val="16"/>
              </w:rPr>
              <w:t>of</w:t>
            </w:r>
            <w:proofErr w:type="spellEnd"/>
            <w:r w:rsidRPr="00B214CF">
              <w:rPr>
                <w:b/>
                <w:sz w:val="16"/>
              </w:rPr>
              <w:t xml:space="preserve"> </w:t>
            </w:r>
            <w:proofErr w:type="spellStart"/>
            <w:r w:rsidRPr="00B214CF">
              <w:rPr>
                <w:b/>
                <w:sz w:val="16"/>
              </w:rPr>
              <w:t>publication</w:t>
            </w:r>
            <w:proofErr w:type="spellEnd"/>
          </w:p>
          <w:p w14:paraId="6E366490" w14:textId="77777777" w:rsidR="007348BC" w:rsidRPr="00B214CF" w:rsidRDefault="007348BC" w:rsidP="007348BC">
            <w:pPr>
              <w:pStyle w:val="BodyText2"/>
              <w:ind w:left="317"/>
              <w:jc w:val="center"/>
              <w:rPr>
                <w:sz w:val="16"/>
              </w:rPr>
            </w:pPr>
          </w:p>
        </w:tc>
      </w:tr>
      <w:tr w:rsidR="007348BC" w:rsidRPr="00937FAC" w14:paraId="69358E69" w14:textId="77777777" w:rsidTr="00846CDA">
        <w:trPr>
          <w:trHeight w:val="427"/>
        </w:trPr>
        <w:tc>
          <w:tcPr>
            <w:tcW w:w="4962" w:type="dxa"/>
          </w:tcPr>
          <w:p w14:paraId="19F53BA5" w14:textId="3AAD5C10" w:rsidR="007348BC" w:rsidRPr="0061628D" w:rsidRDefault="007348BC" w:rsidP="00C825D6">
            <w:pPr>
              <w:pStyle w:val="BodyText2"/>
              <w:numPr>
                <w:ilvl w:val="0"/>
                <w:numId w:val="18"/>
              </w:numPr>
              <w:spacing w:before="60"/>
              <w:ind w:left="425" w:hanging="425"/>
              <w:rPr>
                <w:sz w:val="16"/>
              </w:rPr>
            </w:pPr>
            <w:r w:rsidRPr="009166E2">
              <w:rPr>
                <w:sz w:val="16"/>
              </w:rPr>
              <w:t xml:space="preserve">Die Mitteilungen der Gesellschaft an die Aktionäre und die Bekanntmachungen erfolgen </w:t>
            </w:r>
            <w:r>
              <w:rPr>
                <w:sz w:val="16"/>
              </w:rPr>
              <w:t>im "</w:t>
            </w:r>
            <w:r w:rsidRPr="009166E2">
              <w:rPr>
                <w:sz w:val="16"/>
              </w:rPr>
              <w:t>Schweizerischen Handelsamtsblatt".</w:t>
            </w:r>
          </w:p>
        </w:tc>
        <w:tc>
          <w:tcPr>
            <w:tcW w:w="596" w:type="dxa"/>
            <w:vMerge w:val="restart"/>
          </w:tcPr>
          <w:p w14:paraId="6FFDF8BD" w14:textId="77777777" w:rsidR="007348BC" w:rsidRPr="009166E2" w:rsidRDefault="007348BC" w:rsidP="007348BC">
            <w:pPr>
              <w:pStyle w:val="BodyText2"/>
              <w:ind w:left="425" w:hanging="425"/>
              <w:rPr>
                <w:sz w:val="16"/>
              </w:rPr>
            </w:pPr>
          </w:p>
        </w:tc>
        <w:tc>
          <w:tcPr>
            <w:tcW w:w="5074" w:type="dxa"/>
          </w:tcPr>
          <w:p w14:paraId="0EAEF68F" w14:textId="2B05357B" w:rsidR="007348BC" w:rsidRPr="0061628D" w:rsidRDefault="007348BC" w:rsidP="00C825D6">
            <w:pPr>
              <w:pStyle w:val="BodyText2"/>
              <w:numPr>
                <w:ilvl w:val="0"/>
                <w:numId w:val="57"/>
              </w:numPr>
              <w:spacing w:before="60"/>
              <w:ind w:left="425" w:hanging="425"/>
              <w:rPr>
                <w:sz w:val="16"/>
                <w:lang w:val="en-US"/>
              </w:rPr>
            </w:pPr>
            <w:r w:rsidRPr="00D95779">
              <w:rPr>
                <w:sz w:val="16"/>
                <w:lang w:val="en-US"/>
              </w:rPr>
              <w:t>All communications by the Company to its shareholders and all Company notices shall be published in the "Swiss Official Gazette of Commerce".</w:t>
            </w:r>
          </w:p>
        </w:tc>
      </w:tr>
      <w:tr w:rsidR="007348BC" w:rsidRPr="00937FAC" w14:paraId="5D1D5AD4" w14:textId="77777777" w:rsidTr="00846CDA">
        <w:trPr>
          <w:trHeight w:val="426"/>
        </w:trPr>
        <w:tc>
          <w:tcPr>
            <w:tcW w:w="4962" w:type="dxa"/>
          </w:tcPr>
          <w:p w14:paraId="271F98E1" w14:textId="60DD08A5" w:rsidR="007348BC" w:rsidRPr="009166E2" w:rsidRDefault="007348BC" w:rsidP="00C825D6">
            <w:pPr>
              <w:pStyle w:val="BodyText2"/>
              <w:numPr>
                <w:ilvl w:val="0"/>
                <w:numId w:val="18"/>
              </w:numPr>
              <w:spacing w:before="60"/>
              <w:ind w:left="425" w:hanging="425"/>
              <w:rPr>
                <w:sz w:val="16"/>
              </w:rPr>
            </w:pPr>
            <w:r w:rsidRPr="009166E2">
              <w:rPr>
                <w:sz w:val="16"/>
              </w:rPr>
              <w:t>Soweit die Gesellschaft Mitteilungen an ihre Aktionäre per Brief macht, erfolgen solche Mitteilungen auf dem ordentlichen Postweg an den Empfänger und die Adresse, die im Aktienbuch vermerkt sind, oder auf einem anderen dem Verwaltungsrat als passend erscheinenden Weg.</w:t>
            </w:r>
          </w:p>
        </w:tc>
        <w:tc>
          <w:tcPr>
            <w:tcW w:w="596" w:type="dxa"/>
            <w:vMerge/>
          </w:tcPr>
          <w:p w14:paraId="0238AC49" w14:textId="77777777" w:rsidR="007348BC" w:rsidRPr="009166E2" w:rsidRDefault="007348BC" w:rsidP="007348BC">
            <w:pPr>
              <w:pStyle w:val="BodyText2"/>
              <w:ind w:left="425" w:hanging="425"/>
              <w:rPr>
                <w:sz w:val="16"/>
              </w:rPr>
            </w:pPr>
          </w:p>
        </w:tc>
        <w:tc>
          <w:tcPr>
            <w:tcW w:w="5074" w:type="dxa"/>
          </w:tcPr>
          <w:p w14:paraId="53361701" w14:textId="7562E96B" w:rsidR="007348BC" w:rsidRPr="00D95779" w:rsidRDefault="007348BC" w:rsidP="00C825D6">
            <w:pPr>
              <w:pStyle w:val="BodyText2"/>
              <w:numPr>
                <w:ilvl w:val="0"/>
                <w:numId w:val="57"/>
              </w:numPr>
              <w:spacing w:before="60"/>
              <w:ind w:left="425" w:hanging="425"/>
              <w:rPr>
                <w:sz w:val="16"/>
                <w:lang w:val="en-US"/>
              </w:rPr>
            </w:pPr>
            <w:r w:rsidRPr="00D95779">
              <w:rPr>
                <w:sz w:val="16"/>
                <w:lang w:val="en-US"/>
              </w:rPr>
              <w:t>To the extent the Company communicates to its shareholders by mail, such communications shall be sent by ordinary mail to the recipient and address recorded in the share register or in such other form as the Board of Directors deems fit.</w:t>
            </w:r>
          </w:p>
        </w:tc>
      </w:tr>
      <w:tr w:rsidR="007348BC" w:rsidRPr="00937FAC" w14:paraId="44AC678A" w14:textId="77777777" w:rsidTr="00846CDA">
        <w:tc>
          <w:tcPr>
            <w:tcW w:w="4962" w:type="dxa"/>
          </w:tcPr>
          <w:p w14:paraId="46A53067" w14:textId="77777777" w:rsidR="007348BC" w:rsidRPr="009166E2" w:rsidRDefault="007348BC" w:rsidP="007348BC">
            <w:pPr>
              <w:pStyle w:val="BodyText2"/>
              <w:ind w:left="340"/>
              <w:jc w:val="center"/>
              <w:rPr>
                <w:sz w:val="16"/>
                <w:lang w:val="en-US"/>
              </w:rPr>
            </w:pPr>
          </w:p>
          <w:p w14:paraId="4A3ECC97" w14:textId="74F14F7B" w:rsidR="007348BC" w:rsidRPr="00B214CF" w:rsidRDefault="007348BC" w:rsidP="007348BC">
            <w:pPr>
              <w:pStyle w:val="BodyText2"/>
              <w:jc w:val="center"/>
              <w:rPr>
                <w:b/>
                <w:sz w:val="16"/>
              </w:rPr>
            </w:pPr>
            <w:r>
              <w:rPr>
                <w:b/>
                <w:sz w:val="16"/>
              </w:rPr>
              <w:t>Art. 36</w:t>
            </w:r>
          </w:p>
          <w:p w14:paraId="663B8948" w14:textId="7A11C057" w:rsidR="007348BC" w:rsidRPr="00B214CF" w:rsidRDefault="007348BC" w:rsidP="007348BC">
            <w:pPr>
              <w:pStyle w:val="BodyText2"/>
              <w:spacing w:after="240"/>
              <w:ind w:left="33"/>
              <w:jc w:val="center"/>
              <w:rPr>
                <w:sz w:val="16"/>
              </w:rPr>
            </w:pPr>
            <w:r>
              <w:rPr>
                <w:b/>
                <w:sz w:val="16"/>
              </w:rPr>
              <w:t>Gerichtsstand</w:t>
            </w:r>
          </w:p>
        </w:tc>
        <w:tc>
          <w:tcPr>
            <w:tcW w:w="596" w:type="dxa"/>
          </w:tcPr>
          <w:p w14:paraId="150E737D" w14:textId="77777777" w:rsidR="007348BC" w:rsidRPr="00B05B80" w:rsidRDefault="007348BC" w:rsidP="007348BC">
            <w:pPr>
              <w:pStyle w:val="BodyText2"/>
              <w:rPr>
                <w:sz w:val="16"/>
              </w:rPr>
            </w:pPr>
          </w:p>
        </w:tc>
        <w:tc>
          <w:tcPr>
            <w:tcW w:w="5074" w:type="dxa"/>
          </w:tcPr>
          <w:p w14:paraId="66713E33" w14:textId="77777777" w:rsidR="007348BC" w:rsidRDefault="007348BC" w:rsidP="007348BC">
            <w:pPr>
              <w:pStyle w:val="BodyText2"/>
              <w:jc w:val="center"/>
              <w:rPr>
                <w:b/>
                <w:sz w:val="16"/>
              </w:rPr>
            </w:pPr>
          </w:p>
          <w:p w14:paraId="216C28C9" w14:textId="688306D6" w:rsidR="007348BC" w:rsidRPr="00B214CF" w:rsidRDefault="007348BC" w:rsidP="007348BC">
            <w:pPr>
              <w:pStyle w:val="BodyText2"/>
              <w:jc w:val="center"/>
              <w:rPr>
                <w:b/>
                <w:sz w:val="16"/>
              </w:rPr>
            </w:pPr>
            <w:r>
              <w:rPr>
                <w:b/>
                <w:sz w:val="16"/>
              </w:rPr>
              <w:t>Art. 36</w:t>
            </w:r>
          </w:p>
          <w:p w14:paraId="4D655CF8" w14:textId="160CC132" w:rsidR="007348BC" w:rsidRPr="00C04909" w:rsidRDefault="007348BC" w:rsidP="007348BC">
            <w:pPr>
              <w:pStyle w:val="BodyText2"/>
              <w:ind w:left="33"/>
              <w:jc w:val="center"/>
              <w:rPr>
                <w:sz w:val="16"/>
                <w:lang w:val="en-US"/>
              </w:rPr>
            </w:pPr>
            <w:proofErr w:type="spellStart"/>
            <w:r>
              <w:rPr>
                <w:b/>
                <w:sz w:val="16"/>
              </w:rPr>
              <w:t>Jurisdiction</w:t>
            </w:r>
            <w:proofErr w:type="spellEnd"/>
          </w:p>
        </w:tc>
      </w:tr>
      <w:tr w:rsidR="007348BC" w:rsidRPr="009166E2" w14:paraId="0926A07F" w14:textId="77777777" w:rsidTr="00846CDA">
        <w:tc>
          <w:tcPr>
            <w:tcW w:w="4962" w:type="dxa"/>
          </w:tcPr>
          <w:p w14:paraId="250D03FC" w14:textId="025C4ABF" w:rsidR="007348BC" w:rsidRPr="00B214CF" w:rsidRDefault="007348BC" w:rsidP="007348BC">
            <w:pPr>
              <w:pStyle w:val="BodyText2"/>
              <w:rPr>
                <w:sz w:val="16"/>
              </w:rPr>
            </w:pPr>
            <w:r w:rsidRPr="009166E2">
              <w:rPr>
                <w:sz w:val="16"/>
              </w:rPr>
              <w:t>Der ausschliessliche Gerichtsstand für sämtliche aus dem Gesellschaftsverhältnis entstehenden oder damit in Zusamm</w:t>
            </w:r>
            <w:r>
              <w:rPr>
                <w:sz w:val="16"/>
              </w:rPr>
              <w:t>enhang stehenden Strei</w:t>
            </w:r>
            <w:r w:rsidRPr="009166E2">
              <w:rPr>
                <w:sz w:val="16"/>
              </w:rPr>
              <w:t>tigkeiten befindet sich am Sitz der Gesellschaft.</w:t>
            </w:r>
          </w:p>
        </w:tc>
        <w:tc>
          <w:tcPr>
            <w:tcW w:w="596" w:type="dxa"/>
          </w:tcPr>
          <w:p w14:paraId="7F5E8EC5" w14:textId="77777777" w:rsidR="007348BC" w:rsidRPr="00B05B80" w:rsidRDefault="007348BC" w:rsidP="007348BC">
            <w:pPr>
              <w:pStyle w:val="BodyText2"/>
              <w:rPr>
                <w:sz w:val="16"/>
              </w:rPr>
            </w:pPr>
          </w:p>
        </w:tc>
        <w:tc>
          <w:tcPr>
            <w:tcW w:w="5074" w:type="dxa"/>
          </w:tcPr>
          <w:p w14:paraId="69980C8E" w14:textId="29AC41FA" w:rsidR="007348BC" w:rsidRPr="009166E2" w:rsidRDefault="007348BC" w:rsidP="007348BC">
            <w:pPr>
              <w:pStyle w:val="BodyText2"/>
              <w:ind w:left="33"/>
              <w:rPr>
                <w:sz w:val="16"/>
                <w:lang w:val="en-US"/>
              </w:rPr>
            </w:pPr>
            <w:r w:rsidRPr="00D95779">
              <w:rPr>
                <w:sz w:val="16"/>
                <w:lang w:val="en-US"/>
              </w:rPr>
              <w:t>The exclusive place of jurisdiction for any disputes arising from or in connection with the corporate relationship in the Company shall be at the registered office of the Company</w:t>
            </w:r>
            <w:r w:rsidRPr="00BA0AF1">
              <w:rPr>
                <w:sz w:val="16"/>
                <w:lang w:val="en-US"/>
              </w:rPr>
              <w:t>.</w:t>
            </w:r>
          </w:p>
        </w:tc>
      </w:tr>
      <w:tr w:rsidR="007348BC" w:rsidRPr="00937FAC" w14:paraId="5E0E202D" w14:textId="77777777" w:rsidTr="00846CDA">
        <w:tc>
          <w:tcPr>
            <w:tcW w:w="4962" w:type="dxa"/>
          </w:tcPr>
          <w:p w14:paraId="29E7D3BF" w14:textId="77777777" w:rsidR="007348BC" w:rsidRPr="009166E2" w:rsidRDefault="007348BC" w:rsidP="007348BC">
            <w:pPr>
              <w:pStyle w:val="BodyText2"/>
              <w:jc w:val="center"/>
              <w:rPr>
                <w:sz w:val="16"/>
                <w:lang w:val="en-US"/>
              </w:rPr>
            </w:pPr>
          </w:p>
          <w:p w14:paraId="3DB31549" w14:textId="77777777" w:rsidR="007348BC" w:rsidRPr="00D91BDB" w:rsidRDefault="007348BC" w:rsidP="007348BC">
            <w:pPr>
              <w:pStyle w:val="BodyText2"/>
              <w:spacing w:after="240"/>
              <w:jc w:val="center"/>
              <w:rPr>
                <w:b/>
                <w:sz w:val="16"/>
                <w:lang w:val="en-US"/>
              </w:rPr>
            </w:pPr>
            <w:r w:rsidRPr="00D91BDB">
              <w:rPr>
                <w:b/>
                <w:sz w:val="16"/>
                <w:lang w:val="en-US"/>
              </w:rPr>
              <w:t xml:space="preserve">8. </w:t>
            </w:r>
            <w:proofErr w:type="spellStart"/>
            <w:r w:rsidRPr="00D91BDB">
              <w:rPr>
                <w:b/>
                <w:sz w:val="16"/>
                <w:lang w:val="en-US"/>
              </w:rPr>
              <w:t>Massgebliche</w:t>
            </w:r>
            <w:proofErr w:type="spellEnd"/>
            <w:r w:rsidRPr="00D91BDB">
              <w:rPr>
                <w:b/>
                <w:sz w:val="16"/>
                <w:lang w:val="en-US"/>
              </w:rPr>
              <w:t xml:space="preserve"> Version</w:t>
            </w:r>
          </w:p>
        </w:tc>
        <w:tc>
          <w:tcPr>
            <w:tcW w:w="596" w:type="dxa"/>
          </w:tcPr>
          <w:p w14:paraId="1A4475A0" w14:textId="77777777" w:rsidR="007348BC" w:rsidRPr="00B05B80" w:rsidRDefault="007348BC" w:rsidP="007348BC">
            <w:pPr>
              <w:pStyle w:val="BodyText2"/>
              <w:rPr>
                <w:sz w:val="16"/>
              </w:rPr>
            </w:pPr>
          </w:p>
        </w:tc>
        <w:tc>
          <w:tcPr>
            <w:tcW w:w="5074" w:type="dxa"/>
          </w:tcPr>
          <w:p w14:paraId="4F614860" w14:textId="77777777" w:rsidR="007348BC" w:rsidRDefault="007348BC" w:rsidP="007348BC">
            <w:pPr>
              <w:pStyle w:val="BodyText2"/>
              <w:ind w:left="317"/>
              <w:jc w:val="center"/>
              <w:rPr>
                <w:b/>
                <w:sz w:val="16"/>
                <w:lang w:val="en-US"/>
              </w:rPr>
            </w:pPr>
          </w:p>
          <w:p w14:paraId="62226F21" w14:textId="77777777" w:rsidR="007348BC" w:rsidRPr="00C04909" w:rsidRDefault="007348BC" w:rsidP="007348BC">
            <w:pPr>
              <w:pStyle w:val="BodyText2"/>
              <w:ind w:left="317"/>
              <w:jc w:val="center"/>
              <w:rPr>
                <w:sz w:val="16"/>
                <w:lang w:val="en-US"/>
              </w:rPr>
            </w:pPr>
            <w:r w:rsidRPr="00D91BDB">
              <w:rPr>
                <w:b/>
                <w:sz w:val="16"/>
                <w:lang w:val="en-US"/>
              </w:rPr>
              <w:t xml:space="preserve">8. </w:t>
            </w:r>
            <w:proofErr w:type="spellStart"/>
            <w:r>
              <w:rPr>
                <w:b/>
                <w:sz w:val="16"/>
              </w:rPr>
              <w:t>Prevailing</w:t>
            </w:r>
            <w:proofErr w:type="spellEnd"/>
            <w:r>
              <w:rPr>
                <w:b/>
                <w:sz w:val="16"/>
              </w:rPr>
              <w:t xml:space="preserve"> Version</w:t>
            </w:r>
          </w:p>
        </w:tc>
      </w:tr>
      <w:tr w:rsidR="007348BC" w:rsidRPr="003839FB" w14:paraId="11C71F37" w14:textId="77777777" w:rsidTr="00846CDA">
        <w:tc>
          <w:tcPr>
            <w:tcW w:w="4962" w:type="dxa"/>
          </w:tcPr>
          <w:p w14:paraId="5EF53A5C" w14:textId="77777777" w:rsidR="007348BC" w:rsidRDefault="007348BC" w:rsidP="007348BC">
            <w:pPr>
              <w:pStyle w:val="BodyText2"/>
              <w:jc w:val="center"/>
              <w:rPr>
                <w:b/>
                <w:sz w:val="16"/>
              </w:rPr>
            </w:pPr>
          </w:p>
          <w:p w14:paraId="00CCB75D" w14:textId="05AA21FA" w:rsidR="007348BC" w:rsidRPr="00B214CF" w:rsidRDefault="007348BC" w:rsidP="007348BC">
            <w:pPr>
              <w:pStyle w:val="BodyText2"/>
              <w:jc w:val="center"/>
              <w:rPr>
                <w:b/>
                <w:sz w:val="16"/>
              </w:rPr>
            </w:pPr>
            <w:r>
              <w:rPr>
                <w:b/>
                <w:sz w:val="16"/>
              </w:rPr>
              <w:t>Art. 37</w:t>
            </w:r>
          </w:p>
          <w:p w14:paraId="48A31964" w14:textId="77777777" w:rsidR="007348BC" w:rsidRPr="003839FB" w:rsidRDefault="007348BC" w:rsidP="007348BC">
            <w:pPr>
              <w:pStyle w:val="BodyText2"/>
              <w:spacing w:after="240"/>
              <w:jc w:val="center"/>
              <w:rPr>
                <w:sz w:val="16"/>
              </w:rPr>
            </w:pPr>
            <w:r>
              <w:rPr>
                <w:b/>
                <w:sz w:val="16"/>
              </w:rPr>
              <w:lastRenderedPageBreak/>
              <w:t>Massgebliche Version</w:t>
            </w:r>
          </w:p>
        </w:tc>
        <w:tc>
          <w:tcPr>
            <w:tcW w:w="596" w:type="dxa"/>
          </w:tcPr>
          <w:p w14:paraId="3411EA6C" w14:textId="77777777" w:rsidR="007348BC" w:rsidRPr="00B05B80" w:rsidRDefault="007348BC" w:rsidP="007348BC">
            <w:pPr>
              <w:pStyle w:val="BodyText2"/>
              <w:rPr>
                <w:sz w:val="16"/>
              </w:rPr>
            </w:pPr>
          </w:p>
        </w:tc>
        <w:tc>
          <w:tcPr>
            <w:tcW w:w="5074" w:type="dxa"/>
          </w:tcPr>
          <w:p w14:paraId="2E5AEF0D" w14:textId="77777777" w:rsidR="007348BC" w:rsidRDefault="007348BC" w:rsidP="007348BC">
            <w:pPr>
              <w:pStyle w:val="BodyText2"/>
              <w:jc w:val="center"/>
              <w:rPr>
                <w:b/>
                <w:sz w:val="16"/>
              </w:rPr>
            </w:pPr>
          </w:p>
          <w:p w14:paraId="719199F0" w14:textId="6AE62C50" w:rsidR="007348BC" w:rsidRPr="00B214CF" w:rsidRDefault="007348BC" w:rsidP="007348BC">
            <w:pPr>
              <w:pStyle w:val="BodyText2"/>
              <w:jc w:val="center"/>
              <w:rPr>
                <w:b/>
                <w:sz w:val="16"/>
              </w:rPr>
            </w:pPr>
            <w:r>
              <w:rPr>
                <w:b/>
                <w:sz w:val="16"/>
              </w:rPr>
              <w:t>Art. 37</w:t>
            </w:r>
          </w:p>
          <w:p w14:paraId="79CB92AE" w14:textId="77777777" w:rsidR="007348BC" w:rsidRPr="003839FB" w:rsidRDefault="007348BC" w:rsidP="007348BC">
            <w:pPr>
              <w:pStyle w:val="BodyText2"/>
              <w:ind w:left="33"/>
              <w:jc w:val="center"/>
              <w:rPr>
                <w:sz w:val="16"/>
              </w:rPr>
            </w:pPr>
            <w:proofErr w:type="spellStart"/>
            <w:r>
              <w:rPr>
                <w:b/>
                <w:sz w:val="16"/>
              </w:rPr>
              <w:t>Prevailing</w:t>
            </w:r>
            <w:proofErr w:type="spellEnd"/>
            <w:r>
              <w:rPr>
                <w:b/>
                <w:sz w:val="16"/>
              </w:rPr>
              <w:t xml:space="preserve"> Version</w:t>
            </w:r>
          </w:p>
        </w:tc>
      </w:tr>
      <w:tr w:rsidR="007348BC" w:rsidRPr="00D91BDB" w14:paraId="3559794C" w14:textId="77777777" w:rsidTr="00846CDA">
        <w:tc>
          <w:tcPr>
            <w:tcW w:w="4962" w:type="dxa"/>
          </w:tcPr>
          <w:p w14:paraId="1F053A27" w14:textId="77777777" w:rsidR="007348BC" w:rsidRPr="00D91BDB" w:rsidRDefault="007348BC" w:rsidP="007348BC">
            <w:pPr>
              <w:pStyle w:val="BodyText2"/>
              <w:rPr>
                <w:sz w:val="16"/>
              </w:rPr>
            </w:pPr>
            <w:r w:rsidRPr="00D91BDB">
              <w:rPr>
                <w:sz w:val="16"/>
              </w:rPr>
              <w:t xml:space="preserve">Diese Statuten </w:t>
            </w:r>
            <w:r>
              <w:rPr>
                <w:sz w:val="16"/>
              </w:rPr>
              <w:t>existieren in deutscher und engl</w:t>
            </w:r>
            <w:r w:rsidRPr="00D91BDB">
              <w:rPr>
                <w:sz w:val="16"/>
              </w:rPr>
              <w:t>ischer Fassung. Die deutsche Fassung geht vor.</w:t>
            </w:r>
          </w:p>
        </w:tc>
        <w:tc>
          <w:tcPr>
            <w:tcW w:w="596" w:type="dxa"/>
          </w:tcPr>
          <w:p w14:paraId="2694B459" w14:textId="77777777" w:rsidR="007348BC" w:rsidRPr="00B05B80" w:rsidRDefault="007348BC" w:rsidP="007348BC">
            <w:pPr>
              <w:pStyle w:val="BodyText2"/>
              <w:rPr>
                <w:sz w:val="16"/>
              </w:rPr>
            </w:pPr>
          </w:p>
        </w:tc>
        <w:tc>
          <w:tcPr>
            <w:tcW w:w="5074" w:type="dxa"/>
          </w:tcPr>
          <w:p w14:paraId="31D78D6E" w14:textId="77777777" w:rsidR="007348BC" w:rsidRPr="00D91BDB" w:rsidRDefault="007348BC" w:rsidP="007348BC">
            <w:pPr>
              <w:pStyle w:val="BodyText2"/>
              <w:rPr>
                <w:sz w:val="16"/>
              </w:rPr>
            </w:pPr>
            <w:r w:rsidRPr="00D95779">
              <w:rPr>
                <w:sz w:val="16"/>
                <w:lang w:val="en-US"/>
              </w:rPr>
              <w:t xml:space="preserve">A German and an English version exist of these Articles of Association. </w:t>
            </w:r>
            <w:r>
              <w:rPr>
                <w:sz w:val="16"/>
              </w:rPr>
              <w:t xml:space="preserve">The German </w:t>
            </w:r>
            <w:proofErr w:type="spellStart"/>
            <w:r>
              <w:rPr>
                <w:sz w:val="16"/>
              </w:rPr>
              <w:t>ver</w:t>
            </w:r>
            <w:r w:rsidRPr="00D91BDB">
              <w:rPr>
                <w:sz w:val="16"/>
              </w:rPr>
              <w:t>sion</w:t>
            </w:r>
            <w:proofErr w:type="spellEnd"/>
            <w:r w:rsidRPr="00D91BDB">
              <w:rPr>
                <w:sz w:val="16"/>
              </w:rPr>
              <w:t xml:space="preserve"> </w:t>
            </w:r>
            <w:proofErr w:type="spellStart"/>
            <w:r w:rsidRPr="00D91BDB">
              <w:rPr>
                <w:sz w:val="16"/>
              </w:rPr>
              <w:t>shall</w:t>
            </w:r>
            <w:proofErr w:type="spellEnd"/>
            <w:r w:rsidRPr="00D91BDB">
              <w:rPr>
                <w:sz w:val="16"/>
              </w:rPr>
              <w:t xml:space="preserve"> </w:t>
            </w:r>
            <w:proofErr w:type="spellStart"/>
            <w:r w:rsidRPr="00D91BDB">
              <w:rPr>
                <w:sz w:val="16"/>
              </w:rPr>
              <w:t>prevail</w:t>
            </w:r>
            <w:proofErr w:type="spellEnd"/>
            <w:r w:rsidRPr="00D91BDB">
              <w:rPr>
                <w:sz w:val="16"/>
              </w:rPr>
              <w:t>.</w:t>
            </w:r>
          </w:p>
        </w:tc>
      </w:tr>
      <w:tr w:rsidR="007348BC" w:rsidRPr="00D91BDB" w14:paraId="40B4EC29" w14:textId="77777777" w:rsidTr="00846CDA">
        <w:trPr>
          <w:trHeight w:val="519"/>
        </w:trPr>
        <w:tc>
          <w:tcPr>
            <w:tcW w:w="4962" w:type="dxa"/>
          </w:tcPr>
          <w:p w14:paraId="1703CB88" w14:textId="77777777" w:rsidR="007348BC" w:rsidRDefault="007348BC" w:rsidP="007348BC">
            <w:pPr>
              <w:pStyle w:val="BodyText2"/>
              <w:spacing w:before="240"/>
              <w:jc w:val="left"/>
              <w:rPr>
                <w:rFonts w:cs="Segoe UI"/>
                <w:sz w:val="16"/>
                <w:szCs w:val="16"/>
              </w:rPr>
            </w:pPr>
          </w:p>
          <w:p w14:paraId="0D1D82B7" w14:textId="77777777" w:rsidR="007348BC" w:rsidRDefault="007348BC" w:rsidP="007348BC">
            <w:pPr>
              <w:pStyle w:val="BodyText2"/>
              <w:spacing w:before="240"/>
              <w:jc w:val="left"/>
              <w:rPr>
                <w:rFonts w:cs="Segoe UI"/>
                <w:sz w:val="16"/>
                <w:szCs w:val="16"/>
              </w:rPr>
            </w:pPr>
          </w:p>
          <w:p w14:paraId="448F2543" w14:textId="2E13C1DB" w:rsidR="007348BC" w:rsidRPr="00150B26" w:rsidRDefault="001B45D3" w:rsidP="007348BC">
            <w:pPr>
              <w:pStyle w:val="BodyText2"/>
              <w:spacing w:before="240"/>
              <w:jc w:val="left"/>
              <w:rPr>
                <w:sz w:val="16"/>
                <w:szCs w:val="16"/>
              </w:rPr>
            </w:pPr>
            <w:r>
              <w:rPr>
                <w:sz w:val="16"/>
                <w:szCs w:val="16"/>
              </w:rPr>
              <w:t>Neuhausen am Rheinfall</w:t>
            </w:r>
            <w:r w:rsidR="007348BC" w:rsidRPr="00150B26">
              <w:rPr>
                <w:sz w:val="16"/>
                <w:szCs w:val="16"/>
              </w:rPr>
              <w:t xml:space="preserve">, </w:t>
            </w:r>
            <w:r w:rsidR="00317A7F">
              <w:rPr>
                <w:sz w:val="16"/>
                <w:szCs w:val="16"/>
              </w:rPr>
              <w:t>16</w:t>
            </w:r>
            <w:r w:rsidR="007348BC">
              <w:rPr>
                <w:sz w:val="16"/>
                <w:szCs w:val="16"/>
              </w:rPr>
              <w:t xml:space="preserve">. </w:t>
            </w:r>
            <w:r w:rsidR="00CE64CE">
              <w:rPr>
                <w:sz w:val="16"/>
                <w:szCs w:val="16"/>
              </w:rPr>
              <w:t>April</w:t>
            </w:r>
            <w:r w:rsidR="00CE64CE" w:rsidRPr="00150B26">
              <w:rPr>
                <w:sz w:val="16"/>
                <w:szCs w:val="16"/>
              </w:rPr>
              <w:t xml:space="preserve"> </w:t>
            </w:r>
            <w:r w:rsidR="007348BC" w:rsidRPr="00150B26">
              <w:rPr>
                <w:sz w:val="16"/>
                <w:szCs w:val="16"/>
              </w:rPr>
              <w:t>202</w:t>
            </w:r>
            <w:r w:rsidR="00317A7F">
              <w:rPr>
                <w:sz w:val="16"/>
                <w:szCs w:val="16"/>
              </w:rPr>
              <w:t>6</w:t>
            </w:r>
          </w:p>
        </w:tc>
        <w:tc>
          <w:tcPr>
            <w:tcW w:w="596" w:type="dxa"/>
          </w:tcPr>
          <w:p w14:paraId="42954E36" w14:textId="77777777" w:rsidR="007348BC" w:rsidRPr="00B05B80" w:rsidRDefault="007348BC" w:rsidP="007348BC">
            <w:pPr>
              <w:pStyle w:val="BodyText2"/>
              <w:rPr>
                <w:sz w:val="16"/>
              </w:rPr>
            </w:pPr>
          </w:p>
        </w:tc>
        <w:tc>
          <w:tcPr>
            <w:tcW w:w="5074" w:type="dxa"/>
          </w:tcPr>
          <w:p w14:paraId="5C3B54C4" w14:textId="77777777" w:rsidR="007348BC" w:rsidRDefault="007348BC" w:rsidP="007348BC">
            <w:pPr>
              <w:pStyle w:val="BodyText2"/>
              <w:spacing w:before="240"/>
              <w:ind w:left="33"/>
              <w:rPr>
                <w:rFonts w:cs="Segoe UI"/>
                <w:sz w:val="16"/>
                <w:szCs w:val="16"/>
              </w:rPr>
            </w:pPr>
          </w:p>
          <w:p w14:paraId="08BB27E8" w14:textId="77777777" w:rsidR="007348BC" w:rsidRDefault="007348BC" w:rsidP="007348BC">
            <w:pPr>
              <w:pStyle w:val="BodyText2"/>
              <w:spacing w:before="240"/>
              <w:ind w:left="33"/>
              <w:rPr>
                <w:rFonts w:cs="Segoe UI"/>
                <w:sz w:val="16"/>
                <w:szCs w:val="16"/>
              </w:rPr>
            </w:pPr>
          </w:p>
          <w:p w14:paraId="74E64368" w14:textId="4756CEEC" w:rsidR="007348BC" w:rsidRPr="00D91BDB" w:rsidRDefault="001B45D3" w:rsidP="007348BC">
            <w:pPr>
              <w:pStyle w:val="BodyText2"/>
              <w:spacing w:before="240"/>
              <w:ind w:left="33"/>
              <w:rPr>
                <w:sz w:val="16"/>
              </w:rPr>
            </w:pPr>
            <w:r>
              <w:rPr>
                <w:sz w:val="16"/>
                <w:szCs w:val="16"/>
              </w:rPr>
              <w:t>Neuhausen am Rheinfall</w:t>
            </w:r>
            <w:r w:rsidR="007348BC">
              <w:rPr>
                <w:rFonts w:cs="Segoe UI"/>
                <w:sz w:val="16"/>
                <w:szCs w:val="16"/>
              </w:rPr>
              <w:t xml:space="preserve">, </w:t>
            </w:r>
            <w:r w:rsidR="00317A7F">
              <w:rPr>
                <w:rFonts w:cs="Segoe UI"/>
                <w:sz w:val="16"/>
                <w:szCs w:val="16"/>
              </w:rPr>
              <w:t>16</w:t>
            </w:r>
            <w:r w:rsidR="007348BC">
              <w:rPr>
                <w:rFonts w:cs="Segoe UI"/>
                <w:sz w:val="16"/>
                <w:szCs w:val="16"/>
              </w:rPr>
              <w:t xml:space="preserve">. </w:t>
            </w:r>
            <w:r w:rsidR="00CE64CE">
              <w:rPr>
                <w:rFonts w:cs="Segoe UI"/>
                <w:sz w:val="16"/>
                <w:szCs w:val="16"/>
              </w:rPr>
              <w:t>April</w:t>
            </w:r>
            <w:r w:rsidR="00CE64CE" w:rsidRPr="00150B26">
              <w:rPr>
                <w:sz w:val="16"/>
                <w:szCs w:val="16"/>
              </w:rPr>
              <w:t xml:space="preserve"> </w:t>
            </w:r>
            <w:r w:rsidR="007348BC" w:rsidRPr="00150B26">
              <w:rPr>
                <w:sz w:val="16"/>
                <w:szCs w:val="16"/>
              </w:rPr>
              <w:t>20</w:t>
            </w:r>
            <w:r w:rsidR="00317A7F">
              <w:rPr>
                <w:sz w:val="16"/>
                <w:szCs w:val="16"/>
              </w:rPr>
              <w:t>26</w:t>
            </w:r>
          </w:p>
        </w:tc>
      </w:tr>
    </w:tbl>
    <w:p w14:paraId="2CA34493" w14:textId="1EEB5A53" w:rsidR="00185670" w:rsidRDefault="00185670">
      <w:pPr>
        <w:rPr>
          <w:rFonts w:ascii="Verdana" w:hAnsi="Verdana"/>
          <w:sz w:val="16"/>
          <w:szCs w:val="16"/>
          <w:lang w:val="en-US"/>
        </w:rPr>
      </w:pPr>
    </w:p>
    <w:p w14:paraId="5762251D" w14:textId="77777777" w:rsidR="008B6E4D" w:rsidRPr="008B6E4D" w:rsidRDefault="008B6E4D" w:rsidP="00556D0A">
      <w:pPr>
        <w:rPr>
          <w:rFonts w:ascii="Verdana" w:hAnsi="Verdana"/>
          <w:sz w:val="16"/>
          <w:szCs w:val="16"/>
          <w:lang w:val="de-CH"/>
        </w:rPr>
      </w:pPr>
    </w:p>
    <w:sectPr w:rsidR="008B6E4D" w:rsidRPr="008B6E4D" w:rsidSect="004133D4">
      <w:headerReference w:type="default" r:id="rId14"/>
      <w:headerReference w:type="first" r:id="rId15"/>
      <w:pgSz w:w="11906" w:h="16838" w:code="9"/>
      <w:pgMar w:top="1134" w:right="1134" w:bottom="992" w:left="2098" w:header="851" w:footer="720" w:gutter="0"/>
      <w:paperSrc w:first="259" w:other="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4616" w14:textId="77777777" w:rsidR="008C4E22" w:rsidRDefault="008C4E22">
      <w:r>
        <w:separator/>
      </w:r>
    </w:p>
  </w:endnote>
  <w:endnote w:type="continuationSeparator" w:id="0">
    <w:p w14:paraId="2183349B" w14:textId="77777777" w:rsidR="008C4E22" w:rsidRDefault="008C4E22">
      <w:r>
        <w:continuationSeparator/>
      </w:r>
    </w:p>
  </w:endnote>
  <w:endnote w:type="continuationNotice" w:id="1">
    <w:p w14:paraId="4A0C6CCE" w14:textId="77777777" w:rsidR="008C4E22" w:rsidRDefault="008C4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9006" w14:textId="77777777" w:rsidR="008C4E22" w:rsidRDefault="008C4E22">
      <w:r>
        <w:separator/>
      </w:r>
    </w:p>
  </w:footnote>
  <w:footnote w:type="continuationSeparator" w:id="0">
    <w:p w14:paraId="74873A1D" w14:textId="77777777" w:rsidR="008C4E22" w:rsidRDefault="008C4E22">
      <w:r>
        <w:continuationSeparator/>
      </w:r>
    </w:p>
  </w:footnote>
  <w:footnote w:type="continuationNotice" w:id="1">
    <w:p w14:paraId="1CBE4F68" w14:textId="77777777" w:rsidR="008C4E22" w:rsidRDefault="008C4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6AA0" w14:textId="629B37B2" w:rsidR="0084172B" w:rsidRPr="00F87370" w:rsidRDefault="0084172B" w:rsidP="00631087">
    <w:pPr>
      <w:pStyle w:val="Header"/>
      <w:ind w:left="-1276"/>
      <w:rPr>
        <w:rFonts w:ascii="Verdana" w:hAnsi="Verdana"/>
        <w:sz w:val="18"/>
        <w:lang w:val="en-US"/>
      </w:rPr>
    </w:pPr>
    <w:r w:rsidRPr="00F85A08">
      <w:rPr>
        <w:rFonts w:ascii="Verdana" w:hAnsi="Verdana"/>
        <w:b/>
        <w:i/>
        <w:sz w:val="18"/>
        <w:lang w:val="en-US"/>
      </w:rPr>
      <w:t xml:space="preserve">PRELIMINARY DRAFT – </w:t>
    </w:r>
    <w:r>
      <w:rPr>
        <w:rFonts w:ascii="Verdana" w:hAnsi="Verdana"/>
        <w:b/>
        <w:i/>
        <w:sz w:val="18"/>
        <w:lang w:val="en-US"/>
      </w:rPr>
      <w:t>4</w:t>
    </w:r>
    <w:r w:rsidRPr="00F85A08">
      <w:rPr>
        <w:rFonts w:ascii="Verdana" w:hAnsi="Verdana"/>
        <w:b/>
        <w:i/>
        <w:sz w:val="18"/>
        <w:lang w:val="en-US"/>
      </w:rPr>
      <w:t xml:space="preserve"> </w:t>
    </w:r>
    <w:r>
      <w:rPr>
        <w:rFonts w:ascii="Verdana" w:hAnsi="Verdana"/>
        <w:b/>
        <w:i/>
        <w:sz w:val="18"/>
        <w:lang w:val="en-US"/>
      </w:rPr>
      <w:t>May</w:t>
    </w:r>
    <w:r w:rsidRPr="00F85A08">
      <w:rPr>
        <w:rFonts w:ascii="Verdana" w:hAnsi="Verdana"/>
        <w:b/>
        <w:i/>
        <w:sz w:val="18"/>
        <w:lang w:val="en-US"/>
      </w:rPr>
      <w:t xml:space="preserve"> 2018 – </w:t>
    </w:r>
    <w:r w:rsidRPr="00F85A08">
      <w:rPr>
        <w:rFonts w:ascii="Verdana" w:hAnsi="Verdana"/>
        <w:b/>
        <w:i/>
        <w:sz w:val="18"/>
        <w:lang w:val="en-US"/>
      </w:rPr>
      <w:br/>
      <w:t>subject to further discussion and review</w:t>
    </w:r>
  </w:p>
  <w:p w14:paraId="7A1A416E" w14:textId="77777777" w:rsidR="0084172B" w:rsidRPr="00631087" w:rsidRDefault="0084172B">
    <w:pPr>
      <w:pStyle w:val="Header"/>
      <w:tabs>
        <w:tab w:val="clear" w:pos="8306"/>
        <w:tab w:val="right" w:pos="8931"/>
      </w:tabs>
      <w:ind w:left="-1276" w:right="-619"/>
      <w:rPr>
        <w:rStyle w:val="PageNumber"/>
        <w:rFonts w:ascii="Verdana" w:hAnsi="Verdana"/>
        <w:sz w:val="17"/>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AABD" w14:textId="458F48DE" w:rsidR="003E7B65" w:rsidRPr="00CB0A25" w:rsidRDefault="003E7B65" w:rsidP="00637FDF">
    <w:pPr>
      <w:pStyle w:val="Header"/>
      <w:ind w:left="6237"/>
      <w:rPr>
        <w:rFonts w:ascii="Segoe UI" w:hAnsi="Segoe UI" w:cs="Segoe UI"/>
        <w:sz w:val="16"/>
        <w:szCs w:val="16"/>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524E" w14:textId="77777777" w:rsidR="0084172B" w:rsidRPr="00631087" w:rsidRDefault="0084172B">
    <w:pPr>
      <w:pStyle w:val="Header"/>
      <w:tabs>
        <w:tab w:val="clear" w:pos="8306"/>
        <w:tab w:val="right" w:pos="8931"/>
      </w:tabs>
      <w:ind w:left="-1276" w:right="-619"/>
      <w:rPr>
        <w:rStyle w:val="PageNumber"/>
        <w:rFonts w:ascii="Verdana" w:hAnsi="Verdana"/>
        <w:sz w:val="17"/>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5EBD" w14:textId="77777777" w:rsidR="0084172B" w:rsidRPr="002F245F" w:rsidRDefault="0084172B" w:rsidP="002F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36B7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357C2"/>
    <w:multiLevelType w:val="hybridMultilevel"/>
    <w:tmpl w:val="16169B32"/>
    <w:lvl w:ilvl="0" w:tplc="41BC4A90">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2BD4911"/>
    <w:multiLevelType w:val="hybridMultilevel"/>
    <w:tmpl w:val="BD90BCB4"/>
    <w:lvl w:ilvl="0" w:tplc="CBF4E306">
      <w:start w:val="1"/>
      <w:numFmt w:val="decimal"/>
      <w:lvlText w:val="(%1)"/>
      <w:lvlJc w:val="left"/>
      <w:pPr>
        <w:ind w:left="720" w:hanging="360"/>
      </w:pPr>
      <w:rPr>
        <w:rFonts w:hint="default"/>
        <w:b w:val="0"/>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66F0072"/>
    <w:multiLevelType w:val="hybridMultilevel"/>
    <w:tmpl w:val="A80C43FE"/>
    <w:lvl w:ilvl="0" w:tplc="EA1E0FC2">
      <w:start w:val="1"/>
      <w:numFmt w:val="decimal"/>
      <w:lvlText w:val="(%1)"/>
      <w:lvlJc w:val="left"/>
      <w:pPr>
        <w:ind w:left="720" w:hanging="360"/>
      </w:pPr>
      <w:rPr>
        <w:rFonts w:hint="default"/>
        <w:b w:val="0"/>
        <w:lang w:val="en-U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9367B70"/>
    <w:multiLevelType w:val="hybridMultilevel"/>
    <w:tmpl w:val="6BA07672"/>
    <w:lvl w:ilvl="0" w:tplc="FFFFFFFF">
      <w:start w:val="1"/>
      <w:numFmt w:val="lowerLetter"/>
      <w:lvlText w:val="%1."/>
      <w:lvlJc w:val="left"/>
      <w:pPr>
        <w:ind w:left="720" w:hanging="360"/>
      </w:pPr>
    </w:lvl>
    <w:lvl w:ilvl="1" w:tplc="0807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FC4BC4"/>
    <w:multiLevelType w:val="hybridMultilevel"/>
    <w:tmpl w:val="72906B42"/>
    <w:lvl w:ilvl="0" w:tplc="4A9E0BCE">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A046202"/>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A701A45"/>
    <w:multiLevelType w:val="hybridMultilevel"/>
    <w:tmpl w:val="B8423238"/>
    <w:lvl w:ilvl="0" w:tplc="08070015">
      <w:start w:val="1"/>
      <w:numFmt w:val="decimal"/>
      <w:lvlText w:val="(%1)"/>
      <w:lvlJc w:val="left"/>
      <w:pPr>
        <w:ind w:left="64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B463894"/>
    <w:multiLevelType w:val="multilevel"/>
    <w:tmpl w:val="D5CCB0FE"/>
    <w:lvl w:ilvl="0">
      <w:start w:val="1"/>
      <w:numFmt w:val="decimal"/>
      <w:pStyle w:val="Heading1"/>
      <w:lvlText w:val="%1."/>
      <w:lvlJc w:val="left"/>
      <w:pPr>
        <w:ind w:left="0" w:firstLine="0"/>
      </w:pPr>
      <w:rPr>
        <w:rFonts w:hint="default"/>
      </w:rPr>
    </w:lvl>
    <w:lvl w:ilvl="1">
      <w:start w:val="1"/>
      <w:numFmt w:val="upperRoman"/>
      <w:pStyle w:val="Heading2"/>
      <w:lvlText w:val="%2."/>
      <w:lvlJc w:val="left"/>
      <w:pPr>
        <w:tabs>
          <w:tab w:val="num" w:pos="850"/>
        </w:tabs>
        <w:ind w:left="850" w:hanging="850"/>
      </w:pPr>
      <w:rPr>
        <w:rFonts w:hint="default"/>
      </w:rPr>
    </w:lvl>
    <w:lvl w:ilvl="2">
      <w:start w:val="1"/>
      <w:numFmt w:val="upperLetter"/>
      <w:pStyle w:val="Heading3"/>
      <w:lvlText w:val="%3."/>
      <w:lvlJc w:val="left"/>
      <w:pPr>
        <w:tabs>
          <w:tab w:val="num" w:pos="850"/>
        </w:tabs>
        <w:ind w:left="850" w:hanging="850"/>
      </w:pPr>
      <w:rPr>
        <w:rFonts w:hint="default"/>
      </w:rPr>
    </w:lvl>
    <w:lvl w:ilvl="3">
      <w:start w:val="1"/>
      <w:numFmt w:val="decimal"/>
      <w:lvlText w:val="%4."/>
      <w:lvlJc w:val="left"/>
      <w:pPr>
        <w:tabs>
          <w:tab w:val="num" w:pos="850"/>
        </w:tabs>
        <w:ind w:left="850" w:hanging="850"/>
      </w:pPr>
      <w:rPr>
        <w:rFonts w:hint="default"/>
        <w:lang w:val="en-AU"/>
      </w:rPr>
    </w:lvl>
    <w:lvl w:ilvl="4">
      <w:start w:val="1"/>
      <w:numFmt w:val="decimal"/>
      <w:pStyle w:val="Heading5"/>
      <w:lvlText w:val="%4.%5."/>
      <w:lvlJc w:val="left"/>
      <w:pPr>
        <w:tabs>
          <w:tab w:val="num" w:pos="850"/>
        </w:tabs>
        <w:ind w:left="850" w:hanging="850"/>
      </w:pPr>
      <w:rPr>
        <w:rFonts w:hint="default"/>
      </w:rPr>
    </w:lvl>
    <w:lvl w:ilvl="5">
      <w:start w:val="1"/>
      <w:numFmt w:val="decimal"/>
      <w:pStyle w:val="Heading6"/>
      <w:lvlText w:val="%4.%5.%6."/>
      <w:lvlJc w:val="left"/>
      <w:pPr>
        <w:tabs>
          <w:tab w:val="num" w:pos="850"/>
        </w:tabs>
        <w:ind w:left="850" w:hanging="850"/>
      </w:pPr>
      <w:rPr>
        <w:rFonts w:hint="default"/>
      </w:rPr>
    </w:lvl>
    <w:lvl w:ilvl="6">
      <w:start w:val="1"/>
      <w:numFmt w:val="decimal"/>
      <w:pStyle w:val="Heading7"/>
      <w:lvlText w:val="%4.%5.%6.%7."/>
      <w:lvlJc w:val="left"/>
      <w:pPr>
        <w:tabs>
          <w:tab w:val="num" w:pos="850"/>
        </w:tabs>
        <w:ind w:left="850" w:hanging="850"/>
      </w:pPr>
      <w:rPr>
        <w:rFonts w:hint="default"/>
      </w:rPr>
    </w:lvl>
    <w:lvl w:ilvl="7">
      <w:start w:val="1"/>
      <w:numFmt w:val="lowerLetter"/>
      <w:pStyle w:val="Heading8"/>
      <w:lvlText w:val="%8)"/>
      <w:lvlJc w:val="left"/>
      <w:pPr>
        <w:tabs>
          <w:tab w:val="num" w:pos="850"/>
        </w:tabs>
        <w:ind w:left="850" w:hanging="850"/>
      </w:pPr>
      <w:rPr>
        <w:rFonts w:hint="default"/>
      </w:rPr>
    </w:lvl>
    <w:lvl w:ilvl="8">
      <w:start w:val="1"/>
      <w:numFmt w:val="lowerRoman"/>
      <w:pStyle w:val="Heading9"/>
      <w:lvlText w:val="%9)"/>
      <w:lvlJc w:val="left"/>
      <w:pPr>
        <w:tabs>
          <w:tab w:val="num" w:pos="850"/>
        </w:tabs>
        <w:ind w:left="850" w:hanging="850"/>
      </w:pPr>
      <w:rPr>
        <w:rFonts w:hint="default"/>
      </w:rPr>
    </w:lvl>
  </w:abstractNum>
  <w:abstractNum w:abstractNumId="9" w15:restartNumberingAfterBreak="0">
    <w:nsid w:val="10D4565F"/>
    <w:multiLevelType w:val="hybridMultilevel"/>
    <w:tmpl w:val="7C845A5C"/>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336454E"/>
    <w:multiLevelType w:val="multilevel"/>
    <w:tmpl w:val="078E3EA0"/>
    <w:lvl w:ilvl="0">
      <w:start w:val="1"/>
      <w:numFmt w:val="none"/>
      <w:lvlRestart w:val="0"/>
      <w:suff w:val="nothing"/>
      <w:lvlText w:val="%1"/>
      <w:lvlJc w:val="left"/>
      <w:pPr>
        <w:ind w:left="0" w:firstLine="0"/>
      </w:pPr>
    </w:lvl>
    <w:lvl w:ilvl="1">
      <w:start w:val="1"/>
      <w:numFmt w:val="upperRoman"/>
      <w:lvlText w:val="%2."/>
      <w:lvlJc w:val="left"/>
      <w:pPr>
        <w:tabs>
          <w:tab w:val="num" w:pos="850"/>
        </w:tabs>
        <w:ind w:left="850" w:hanging="850"/>
      </w:pPr>
    </w:lvl>
    <w:lvl w:ilvl="2">
      <w:start w:val="1"/>
      <w:numFmt w:val="upperLetter"/>
      <w:lvlText w:val="%3."/>
      <w:lvlJc w:val="left"/>
      <w:pPr>
        <w:tabs>
          <w:tab w:val="num" w:pos="850"/>
        </w:tabs>
        <w:ind w:left="850" w:hanging="850"/>
      </w:pPr>
    </w:lvl>
    <w:lvl w:ilvl="3">
      <w:start w:val="1"/>
      <w:numFmt w:val="decimal"/>
      <w:lvlText w:val="%4."/>
      <w:lvlJc w:val="left"/>
      <w:pPr>
        <w:tabs>
          <w:tab w:val="num" w:pos="850"/>
        </w:tabs>
        <w:ind w:left="850" w:hanging="850"/>
      </w:pPr>
    </w:lvl>
    <w:lvl w:ilvl="4">
      <w:start w:val="1"/>
      <w:numFmt w:val="decimal"/>
      <w:lvlText w:val="%4.%5."/>
      <w:lvlJc w:val="left"/>
      <w:pPr>
        <w:tabs>
          <w:tab w:val="num" w:pos="850"/>
        </w:tabs>
        <w:ind w:left="850" w:hanging="850"/>
      </w:pPr>
    </w:lvl>
    <w:lvl w:ilvl="5">
      <w:start w:val="1"/>
      <w:numFmt w:val="decimal"/>
      <w:lvlText w:val="%4.%5.%6."/>
      <w:lvlJc w:val="left"/>
      <w:pPr>
        <w:tabs>
          <w:tab w:val="num" w:pos="850"/>
        </w:tabs>
        <w:ind w:left="850" w:hanging="850"/>
      </w:pPr>
    </w:lvl>
    <w:lvl w:ilvl="6">
      <w:start w:val="1"/>
      <w:numFmt w:val="decimal"/>
      <w:lvlText w:val="%4.%5.%6.%7."/>
      <w:lvlJc w:val="left"/>
      <w:pPr>
        <w:tabs>
          <w:tab w:val="num" w:pos="850"/>
        </w:tabs>
        <w:ind w:left="850" w:hanging="850"/>
      </w:pPr>
    </w:lvl>
    <w:lvl w:ilvl="7">
      <w:start w:val="1"/>
      <w:numFmt w:val="lowerLetter"/>
      <w:lvlText w:val="%8)"/>
      <w:lvlJc w:val="left"/>
      <w:pPr>
        <w:tabs>
          <w:tab w:val="num" w:pos="850"/>
        </w:tabs>
        <w:ind w:left="850" w:hanging="850"/>
      </w:pPr>
    </w:lvl>
    <w:lvl w:ilvl="8">
      <w:start w:val="1"/>
      <w:numFmt w:val="lowerRoman"/>
      <w:lvlText w:val="%9)"/>
      <w:lvlJc w:val="left"/>
      <w:pPr>
        <w:tabs>
          <w:tab w:val="num" w:pos="850"/>
        </w:tabs>
        <w:ind w:left="850" w:hanging="850"/>
      </w:pPr>
    </w:lvl>
  </w:abstractNum>
  <w:abstractNum w:abstractNumId="11" w15:restartNumberingAfterBreak="0">
    <w:nsid w:val="1566313C"/>
    <w:multiLevelType w:val="hybridMultilevel"/>
    <w:tmpl w:val="16169B32"/>
    <w:lvl w:ilvl="0" w:tplc="41BC4A90">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57D7F46"/>
    <w:multiLevelType w:val="hybridMultilevel"/>
    <w:tmpl w:val="172654BE"/>
    <w:lvl w:ilvl="0" w:tplc="08070015">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ADF260D"/>
    <w:multiLevelType w:val="hybridMultilevel"/>
    <w:tmpl w:val="328696EC"/>
    <w:lvl w:ilvl="0" w:tplc="41BC4A90">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C2202E9"/>
    <w:multiLevelType w:val="hybridMultilevel"/>
    <w:tmpl w:val="BD90BCB4"/>
    <w:lvl w:ilvl="0" w:tplc="CBF4E306">
      <w:start w:val="1"/>
      <w:numFmt w:val="decimal"/>
      <w:lvlText w:val="(%1)"/>
      <w:lvlJc w:val="left"/>
      <w:pPr>
        <w:ind w:left="502" w:hanging="360"/>
      </w:pPr>
      <w:rPr>
        <w:rFonts w:hint="default"/>
        <w:b w:val="0"/>
        <w:lang w:val="de-CH"/>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5" w15:restartNumberingAfterBreak="0">
    <w:nsid w:val="1E17087A"/>
    <w:multiLevelType w:val="hybridMultilevel"/>
    <w:tmpl w:val="B0B0C8FC"/>
    <w:lvl w:ilvl="0" w:tplc="32A66C1A">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0174C10"/>
    <w:multiLevelType w:val="hybridMultilevel"/>
    <w:tmpl w:val="B8423238"/>
    <w:lvl w:ilvl="0" w:tplc="08070015">
      <w:start w:val="1"/>
      <w:numFmt w:val="decimal"/>
      <w:lvlText w:val="(%1)"/>
      <w:lvlJc w:val="left"/>
      <w:pPr>
        <w:ind w:left="643"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1160E4D"/>
    <w:multiLevelType w:val="hybridMultilevel"/>
    <w:tmpl w:val="328696EC"/>
    <w:lvl w:ilvl="0" w:tplc="41BC4A90">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3B212C9"/>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4946958"/>
    <w:multiLevelType w:val="hybridMultilevel"/>
    <w:tmpl w:val="F82C5516"/>
    <w:lvl w:ilvl="0" w:tplc="5168871E">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96D74B9"/>
    <w:multiLevelType w:val="hybridMultilevel"/>
    <w:tmpl w:val="DA2ED8DC"/>
    <w:lvl w:ilvl="0" w:tplc="F684D796">
      <w:start w:val="1"/>
      <w:numFmt w:val="decimal"/>
      <w:lvlText w:val="(%1)"/>
      <w:lvlJc w:val="left"/>
      <w:pPr>
        <w:ind w:left="720" w:hanging="360"/>
      </w:pPr>
      <w:rPr>
        <w:rFonts w:ascii="Verdana" w:hAnsi="Verdana" w:hint="default"/>
        <w:b w:val="0"/>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2B7E3471"/>
    <w:multiLevelType w:val="hybridMultilevel"/>
    <w:tmpl w:val="F82C5516"/>
    <w:lvl w:ilvl="0" w:tplc="5168871E">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D820CAD"/>
    <w:multiLevelType w:val="hybridMultilevel"/>
    <w:tmpl w:val="93161CA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DAB2569"/>
    <w:multiLevelType w:val="hybridMultilevel"/>
    <w:tmpl w:val="ED22E0FA"/>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F7C5BE5"/>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FB43DDE"/>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08769D1"/>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10557A5"/>
    <w:multiLevelType w:val="hybridMultilevel"/>
    <w:tmpl w:val="93161CA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316E14CF"/>
    <w:multiLevelType w:val="hybridMultilevel"/>
    <w:tmpl w:val="172654B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4A84FD1"/>
    <w:multiLevelType w:val="hybridMultilevel"/>
    <w:tmpl w:val="B50C3C2E"/>
    <w:lvl w:ilvl="0" w:tplc="ACEA1DE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4C6495A"/>
    <w:multiLevelType w:val="hybridMultilevel"/>
    <w:tmpl w:val="A5F8C8CA"/>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3552490F"/>
    <w:multiLevelType w:val="hybridMultilevel"/>
    <w:tmpl w:val="F3581082"/>
    <w:lvl w:ilvl="0" w:tplc="CBF4E306">
      <w:start w:val="1"/>
      <w:numFmt w:val="decimal"/>
      <w:lvlText w:val="(%1)"/>
      <w:lvlJc w:val="left"/>
      <w:pPr>
        <w:ind w:left="720" w:hanging="360"/>
      </w:pPr>
      <w:rPr>
        <w:rFonts w:hint="default"/>
        <w:b w:val="0"/>
        <w:lang w:val="de-CH"/>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5BE680F"/>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3A852CF1"/>
    <w:multiLevelType w:val="hybridMultilevel"/>
    <w:tmpl w:val="B50C3C2E"/>
    <w:lvl w:ilvl="0" w:tplc="ACEA1DE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3B381C00"/>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3E1C7AF7"/>
    <w:multiLevelType w:val="hybridMultilevel"/>
    <w:tmpl w:val="031CA20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40925BB0"/>
    <w:multiLevelType w:val="hybridMultilevel"/>
    <w:tmpl w:val="2B2EF1CC"/>
    <w:lvl w:ilvl="0" w:tplc="C3C0176A">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423D700C"/>
    <w:multiLevelType w:val="hybridMultilevel"/>
    <w:tmpl w:val="72906B42"/>
    <w:lvl w:ilvl="0" w:tplc="4A9E0BCE">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45935DFE"/>
    <w:multiLevelType w:val="hybridMultilevel"/>
    <w:tmpl w:val="E46EDE8E"/>
    <w:lvl w:ilvl="0" w:tplc="6F42C852">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4AA2641F"/>
    <w:multiLevelType w:val="hybridMultilevel"/>
    <w:tmpl w:val="93161CA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4B485C24"/>
    <w:multiLevelType w:val="multilevel"/>
    <w:tmpl w:val="078E3EA0"/>
    <w:lvl w:ilvl="0">
      <w:start w:val="1"/>
      <w:numFmt w:val="none"/>
      <w:lvlRestart w:val="0"/>
      <w:suff w:val="nothing"/>
      <w:lvlText w:val="%1"/>
      <w:lvlJc w:val="left"/>
      <w:pPr>
        <w:ind w:left="0" w:firstLine="0"/>
      </w:pPr>
    </w:lvl>
    <w:lvl w:ilvl="1">
      <w:start w:val="1"/>
      <w:numFmt w:val="upperRoman"/>
      <w:lvlText w:val="%2."/>
      <w:lvlJc w:val="left"/>
      <w:pPr>
        <w:tabs>
          <w:tab w:val="num" w:pos="850"/>
        </w:tabs>
        <w:ind w:left="850" w:hanging="850"/>
      </w:pPr>
    </w:lvl>
    <w:lvl w:ilvl="2">
      <w:start w:val="1"/>
      <w:numFmt w:val="upperLetter"/>
      <w:lvlText w:val="%3."/>
      <w:lvlJc w:val="left"/>
      <w:pPr>
        <w:tabs>
          <w:tab w:val="num" w:pos="850"/>
        </w:tabs>
        <w:ind w:left="850" w:hanging="850"/>
      </w:pPr>
    </w:lvl>
    <w:lvl w:ilvl="3">
      <w:start w:val="1"/>
      <w:numFmt w:val="decimal"/>
      <w:lvlText w:val="%4."/>
      <w:lvlJc w:val="left"/>
      <w:pPr>
        <w:tabs>
          <w:tab w:val="num" w:pos="850"/>
        </w:tabs>
        <w:ind w:left="850" w:hanging="850"/>
      </w:pPr>
    </w:lvl>
    <w:lvl w:ilvl="4">
      <w:start w:val="1"/>
      <w:numFmt w:val="decimal"/>
      <w:lvlText w:val="%4.%5."/>
      <w:lvlJc w:val="left"/>
      <w:pPr>
        <w:tabs>
          <w:tab w:val="num" w:pos="850"/>
        </w:tabs>
        <w:ind w:left="850" w:hanging="850"/>
      </w:pPr>
    </w:lvl>
    <w:lvl w:ilvl="5">
      <w:start w:val="1"/>
      <w:numFmt w:val="decimal"/>
      <w:lvlText w:val="%4.%5.%6."/>
      <w:lvlJc w:val="left"/>
      <w:pPr>
        <w:tabs>
          <w:tab w:val="num" w:pos="850"/>
        </w:tabs>
        <w:ind w:left="850" w:hanging="850"/>
      </w:pPr>
    </w:lvl>
    <w:lvl w:ilvl="6">
      <w:start w:val="1"/>
      <w:numFmt w:val="decimal"/>
      <w:lvlText w:val="%4.%5.%6.%7."/>
      <w:lvlJc w:val="left"/>
      <w:pPr>
        <w:tabs>
          <w:tab w:val="num" w:pos="850"/>
        </w:tabs>
        <w:ind w:left="850" w:hanging="850"/>
      </w:pPr>
    </w:lvl>
    <w:lvl w:ilvl="7">
      <w:start w:val="1"/>
      <w:numFmt w:val="lowerLetter"/>
      <w:lvlText w:val="%8)"/>
      <w:lvlJc w:val="left"/>
      <w:pPr>
        <w:tabs>
          <w:tab w:val="num" w:pos="850"/>
        </w:tabs>
        <w:ind w:left="850" w:hanging="850"/>
      </w:pPr>
    </w:lvl>
    <w:lvl w:ilvl="8">
      <w:start w:val="1"/>
      <w:numFmt w:val="lowerRoman"/>
      <w:lvlText w:val="%9)"/>
      <w:lvlJc w:val="left"/>
      <w:pPr>
        <w:tabs>
          <w:tab w:val="num" w:pos="850"/>
        </w:tabs>
        <w:ind w:left="850" w:hanging="850"/>
      </w:pPr>
    </w:lvl>
  </w:abstractNum>
  <w:abstractNum w:abstractNumId="41" w15:restartNumberingAfterBreak="0">
    <w:nsid w:val="4BAE26ED"/>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5D05A73"/>
    <w:multiLevelType w:val="hybridMultilevel"/>
    <w:tmpl w:val="B97A1BC8"/>
    <w:lvl w:ilvl="0" w:tplc="1CE851DA">
      <w:start w:val="1"/>
      <w:numFmt w:val="decimal"/>
      <w:lvlText w:val="(%1)"/>
      <w:lvlJc w:val="left"/>
      <w:pPr>
        <w:ind w:left="720" w:hanging="360"/>
      </w:pPr>
      <w:rPr>
        <w:rFonts w:hint="default"/>
        <w:lang w:val="en-U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587C61B3"/>
    <w:multiLevelType w:val="hybridMultilevel"/>
    <w:tmpl w:val="9386F17A"/>
    <w:lvl w:ilvl="0" w:tplc="9A6A7EAC">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5C6B3ADD"/>
    <w:multiLevelType w:val="hybridMultilevel"/>
    <w:tmpl w:val="93161CA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5F1C6F9B"/>
    <w:multiLevelType w:val="hybridMultilevel"/>
    <w:tmpl w:val="390CE13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1BA707F"/>
    <w:multiLevelType w:val="hybridMultilevel"/>
    <w:tmpl w:val="172654B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63C1245A"/>
    <w:multiLevelType w:val="hybridMultilevel"/>
    <w:tmpl w:val="172654BE"/>
    <w:lvl w:ilvl="0" w:tplc="08070015">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5D84F8D"/>
    <w:multiLevelType w:val="hybridMultilevel"/>
    <w:tmpl w:val="F8E8A42A"/>
    <w:lvl w:ilvl="0" w:tplc="91BEC50C">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66A45C68"/>
    <w:multiLevelType w:val="hybridMultilevel"/>
    <w:tmpl w:val="390CE138"/>
    <w:lvl w:ilvl="0" w:tplc="08070015">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68E14DDB"/>
    <w:multiLevelType w:val="hybridMultilevel"/>
    <w:tmpl w:val="F8E8A42A"/>
    <w:lvl w:ilvl="0" w:tplc="91BEC50C">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6AEA5FEA"/>
    <w:multiLevelType w:val="multilevel"/>
    <w:tmpl w:val="267EF8B8"/>
    <w:lvl w:ilvl="0">
      <w:start w:val="1"/>
      <w:numFmt w:val="none"/>
      <w:lvlRestart w:val="0"/>
      <w:pStyle w:val="TextTopNum0"/>
      <w:lvlText w:val="%1"/>
      <w:lvlJc w:val="left"/>
      <w:pPr>
        <w:tabs>
          <w:tab w:val="num" w:pos="850"/>
        </w:tabs>
        <w:ind w:left="850" w:hanging="850"/>
      </w:pPr>
    </w:lvl>
    <w:lvl w:ilvl="1">
      <w:start w:val="1"/>
      <w:numFmt w:val="decimal"/>
      <w:pStyle w:val="TextTopNum1"/>
      <w:lvlText w:val="%2."/>
      <w:lvlJc w:val="left"/>
      <w:pPr>
        <w:tabs>
          <w:tab w:val="num" w:pos="850"/>
        </w:tabs>
        <w:ind w:left="850" w:hanging="850"/>
      </w:pPr>
    </w:lvl>
    <w:lvl w:ilvl="2">
      <w:start w:val="1"/>
      <w:numFmt w:val="decimal"/>
      <w:pStyle w:val="TextTopNum2"/>
      <w:lvlText w:val="%2.%3."/>
      <w:lvlJc w:val="left"/>
      <w:pPr>
        <w:tabs>
          <w:tab w:val="num" w:pos="850"/>
        </w:tabs>
        <w:ind w:left="850" w:hanging="850"/>
      </w:pPr>
    </w:lvl>
    <w:lvl w:ilvl="3">
      <w:start w:val="1"/>
      <w:numFmt w:val="decimal"/>
      <w:pStyle w:val="TextTopNum3"/>
      <w:lvlText w:val="%2.%3.%4."/>
      <w:lvlJc w:val="left"/>
      <w:pPr>
        <w:tabs>
          <w:tab w:val="num" w:pos="850"/>
        </w:tabs>
        <w:ind w:left="850" w:hanging="850"/>
      </w:pPr>
    </w:lvl>
    <w:lvl w:ilvl="4">
      <w:start w:val="1"/>
      <w:numFmt w:val="lowerLetter"/>
      <w:pStyle w:val="List"/>
      <w:lvlText w:val="(%5)"/>
      <w:lvlJc w:val="left"/>
      <w:pPr>
        <w:tabs>
          <w:tab w:val="num" w:pos="1417"/>
        </w:tabs>
        <w:ind w:left="1417" w:hanging="567"/>
      </w:pPr>
    </w:lvl>
    <w:lvl w:ilvl="5">
      <w:start w:val="1"/>
      <w:numFmt w:val="lowerRoman"/>
      <w:pStyle w:val="List2"/>
      <w:lvlText w:val="(%6)"/>
      <w:lvlJc w:val="left"/>
      <w:pPr>
        <w:tabs>
          <w:tab w:val="num" w:pos="1417"/>
        </w:tabs>
        <w:ind w:left="1417" w:hanging="567"/>
      </w:pPr>
    </w:lvl>
    <w:lvl w:ilvl="6">
      <w:start w:val="1"/>
      <w:numFmt w:val="lowerLetter"/>
      <w:lvlText w:val="(%7)"/>
      <w:lvlJc w:val="left"/>
      <w:pPr>
        <w:tabs>
          <w:tab w:val="num" w:pos="1984"/>
        </w:tabs>
        <w:ind w:left="1984" w:hanging="567"/>
      </w:pPr>
    </w:lvl>
    <w:lvl w:ilvl="7">
      <w:start w:val="1"/>
      <w:numFmt w:val="lowerRoman"/>
      <w:lvlText w:val="(%8)"/>
      <w:lvlJc w:val="left"/>
      <w:pPr>
        <w:tabs>
          <w:tab w:val="num" w:pos="1984"/>
        </w:tabs>
        <w:ind w:left="1984" w:hanging="567"/>
      </w:pPr>
    </w:lvl>
    <w:lvl w:ilvl="8">
      <w:start w:val="27"/>
      <w:numFmt w:val="lowerLetter"/>
      <w:lvlText w:val="(%9)"/>
      <w:lvlJc w:val="left"/>
      <w:pPr>
        <w:tabs>
          <w:tab w:val="num" w:pos="1984"/>
        </w:tabs>
        <w:ind w:left="1984" w:hanging="567"/>
      </w:pPr>
    </w:lvl>
  </w:abstractNum>
  <w:abstractNum w:abstractNumId="52" w15:restartNumberingAfterBreak="0">
    <w:nsid w:val="6BC76DD9"/>
    <w:multiLevelType w:val="hybridMultilevel"/>
    <w:tmpl w:val="B0B0C8FC"/>
    <w:lvl w:ilvl="0" w:tplc="32A66C1A">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3" w15:restartNumberingAfterBreak="0">
    <w:nsid w:val="6C85734D"/>
    <w:multiLevelType w:val="hybridMultilevel"/>
    <w:tmpl w:val="972E57BE"/>
    <w:lvl w:ilvl="0" w:tplc="FFFFFFFF">
      <w:start w:val="1"/>
      <w:numFmt w:val="decimal"/>
      <w:lvlText w:val="(%1)"/>
      <w:lvlJc w:val="left"/>
      <w:pPr>
        <w:ind w:left="720" w:hanging="360"/>
      </w:pPr>
      <w:rPr>
        <w:rFonts w:ascii="Verdana" w:hAnsi="Verdana"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AB42C9"/>
    <w:multiLevelType w:val="hybridMultilevel"/>
    <w:tmpl w:val="E46EDE8E"/>
    <w:lvl w:ilvl="0" w:tplc="6F42C852">
      <w:start w:val="1"/>
      <w:numFmt w:val="decimal"/>
      <w:lvlText w:val="(%1)"/>
      <w:lvlJc w:val="left"/>
      <w:pPr>
        <w:ind w:left="720" w:hanging="360"/>
      </w:pPr>
      <w:rPr>
        <w:rFonts w:hint="default"/>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723060A2"/>
    <w:multiLevelType w:val="hybridMultilevel"/>
    <w:tmpl w:val="F3581082"/>
    <w:lvl w:ilvl="0" w:tplc="CBF4E306">
      <w:start w:val="1"/>
      <w:numFmt w:val="decimal"/>
      <w:lvlText w:val="(%1)"/>
      <w:lvlJc w:val="left"/>
      <w:pPr>
        <w:ind w:left="720" w:hanging="360"/>
      </w:pPr>
      <w:rPr>
        <w:rFonts w:hint="default"/>
        <w:b w:val="0"/>
        <w:lang w:val="de-CH"/>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734C702A"/>
    <w:multiLevelType w:val="hybridMultilevel"/>
    <w:tmpl w:val="172654B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73F3103F"/>
    <w:multiLevelType w:val="hybridMultilevel"/>
    <w:tmpl w:val="031CA20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8" w15:restartNumberingAfterBreak="0">
    <w:nsid w:val="77250AA8"/>
    <w:multiLevelType w:val="hybridMultilevel"/>
    <w:tmpl w:val="02CA37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15:restartNumberingAfterBreak="0">
    <w:nsid w:val="78A40CE9"/>
    <w:multiLevelType w:val="hybridMultilevel"/>
    <w:tmpl w:val="076C3C64"/>
    <w:lvl w:ilvl="0" w:tplc="8598A16A">
      <w:start w:val="1"/>
      <w:numFmt w:val="lowerLetter"/>
      <w:lvlText w:val="%1."/>
      <w:lvlJc w:val="left"/>
      <w:pPr>
        <w:ind w:left="819" w:hanging="360"/>
      </w:pPr>
      <w:rPr>
        <w:rFonts w:hint="default"/>
      </w:rPr>
    </w:lvl>
    <w:lvl w:ilvl="1" w:tplc="08070019" w:tentative="1">
      <w:start w:val="1"/>
      <w:numFmt w:val="lowerLetter"/>
      <w:lvlText w:val="%2."/>
      <w:lvlJc w:val="left"/>
      <w:pPr>
        <w:ind w:left="1539" w:hanging="360"/>
      </w:pPr>
    </w:lvl>
    <w:lvl w:ilvl="2" w:tplc="0807001B" w:tentative="1">
      <w:start w:val="1"/>
      <w:numFmt w:val="lowerRoman"/>
      <w:lvlText w:val="%3."/>
      <w:lvlJc w:val="right"/>
      <w:pPr>
        <w:ind w:left="2259" w:hanging="180"/>
      </w:pPr>
    </w:lvl>
    <w:lvl w:ilvl="3" w:tplc="0807000F" w:tentative="1">
      <w:start w:val="1"/>
      <w:numFmt w:val="decimal"/>
      <w:lvlText w:val="%4."/>
      <w:lvlJc w:val="left"/>
      <w:pPr>
        <w:ind w:left="2979" w:hanging="360"/>
      </w:pPr>
    </w:lvl>
    <w:lvl w:ilvl="4" w:tplc="08070019" w:tentative="1">
      <w:start w:val="1"/>
      <w:numFmt w:val="lowerLetter"/>
      <w:lvlText w:val="%5."/>
      <w:lvlJc w:val="left"/>
      <w:pPr>
        <w:ind w:left="3699" w:hanging="360"/>
      </w:pPr>
    </w:lvl>
    <w:lvl w:ilvl="5" w:tplc="0807001B" w:tentative="1">
      <w:start w:val="1"/>
      <w:numFmt w:val="lowerRoman"/>
      <w:lvlText w:val="%6."/>
      <w:lvlJc w:val="right"/>
      <w:pPr>
        <w:ind w:left="4419" w:hanging="180"/>
      </w:pPr>
    </w:lvl>
    <w:lvl w:ilvl="6" w:tplc="0807000F" w:tentative="1">
      <w:start w:val="1"/>
      <w:numFmt w:val="decimal"/>
      <w:lvlText w:val="%7."/>
      <w:lvlJc w:val="left"/>
      <w:pPr>
        <w:ind w:left="5139" w:hanging="360"/>
      </w:pPr>
    </w:lvl>
    <w:lvl w:ilvl="7" w:tplc="08070019" w:tentative="1">
      <w:start w:val="1"/>
      <w:numFmt w:val="lowerLetter"/>
      <w:lvlText w:val="%8."/>
      <w:lvlJc w:val="left"/>
      <w:pPr>
        <w:ind w:left="5859" w:hanging="360"/>
      </w:pPr>
    </w:lvl>
    <w:lvl w:ilvl="8" w:tplc="0807001B" w:tentative="1">
      <w:start w:val="1"/>
      <w:numFmt w:val="lowerRoman"/>
      <w:lvlText w:val="%9."/>
      <w:lvlJc w:val="right"/>
      <w:pPr>
        <w:ind w:left="6579" w:hanging="180"/>
      </w:pPr>
    </w:lvl>
  </w:abstractNum>
  <w:abstractNum w:abstractNumId="60" w15:restartNumberingAfterBreak="0">
    <w:nsid w:val="7BE71569"/>
    <w:multiLevelType w:val="hybridMultilevel"/>
    <w:tmpl w:val="172654B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1" w15:restartNumberingAfterBreak="0">
    <w:nsid w:val="7DB00CB1"/>
    <w:multiLevelType w:val="hybridMultilevel"/>
    <w:tmpl w:val="2B2EF1CC"/>
    <w:lvl w:ilvl="0" w:tplc="C3C0176A">
      <w:start w:val="1"/>
      <w:numFmt w:val="decimal"/>
      <w:lvlText w:val="(%1)"/>
      <w:lvlJc w:val="left"/>
      <w:pPr>
        <w:ind w:left="720" w:hanging="360"/>
      </w:pPr>
      <w:rPr>
        <w:rFonts w:hint="default"/>
        <w:lang w:val="de-CH"/>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2" w15:restartNumberingAfterBreak="0">
    <w:nsid w:val="7E15427F"/>
    <w:multiLevelType w:val="hybridMultilevel"/>
    <w:tmpl w:val="390CE138"/>
    <w:lvl w:ilvl="0" w:tplc="08070015">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3" w15:restartNumberingAfterBreak="0">
    <w:nsid w:val="7F5816FB"/>
    <w:multiLevelType w:val="hybridMultilevel"/>
    <w:tmpl w:val="390CE138"/>
    <w:lvl w:ilvl="0" w:tplc="08070015">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94789040">
    <w:abstractNumId w:val="10"/>
  </w:num>
  <w:num w:numId="2" w16cid:durableId="67655021">
    <w:abstractNumId w:val="51"/>
  </w:num>
  <w:num w:numId="3" w16cid:durableId="2070616438">
    <w:abstractNumId w:val="5"/>
  </w:num>
  <w:num w:numId="4" w16cid:durableId="580405703">
    <w:abstractNumId w:val="38"/>
  </w:num>
  <w:num w:numId="5" w16cid:durableId="783041284">
    <w:abstractNumId w:val="60"/>
  </w:num>
  <w:num w:numId="6" w16cid:durableId="442500395">
    <w:abstractNumId w:val="19"/>
  </w:num>
  <w:num w:numId="7" w16cid:durableId="933168963">
    <w:abstractNumId w:val="13"/>
  </w:num>
  <w:num w:numId="8" w16cid:durableId="2049914031">
    <w:abstractNumId w:val="8"/>
  </w:num>
  <w:num w:numId="9" w16cid:durableId="1747024911">
    <w:abstractNumId w:val="28"/>
  </w:num>
  <w:num w:numId="10" w16cid:durableId="1038777040">
    <w:abstractNumId w:val="27"/>
  </w:num>
  <w:num w:numId="11" w16cid:durableId="367801218">
    <w:abstractNumId w:val="52"/>
  </w:num>
  <w:num w:numId="12" w16cid:durableId="937059471">
    <w:abstractNumId w:val="25"/>
  </w:num>
  <w:num w:numId="13" w16cid:durableId="1182862054">
    <w:abstractNumId w:val="48"/>
  </w:num>
  <w:num w:numId="14" w16cid:durableId="2103599662">
    <w:abstractNumId w:val="45"/>
  </w:num>
  <w:num w:numId="15" w16cid:durableId="609557306">
    <w:abstractNumId w:val="6"/>
  </w:num>
  <w:num w:numId="16" w16cid:durableId="869611459">
    <w:abstractNumId w:val="18"/>
  </w:num>
  <w:num w:numId="17" w16cid:durableId="1684668700">
    <w:abstractNumId w:val="8"/>
  </w:num>
  <w:num w:numId="18" w16cid:durableId="1151755591">
    <w:abstractNumId w:val="29"/>
  </w:num>
  <w:num w:numId="19" w16cid:durableId="731003206">
    <w:abstractNumId w:val="36"/>
  </w:num>
  <w:num w:numId="20" w16cid:durableId="1678268929">
    <w:abstractNumId w:val="39"/>
  </w:num>
  <w:num w:numId="21" w16cid:durableId="1604266826">
    <w:abstractNumId w:val="63"/>
  </w:num>
  <w:num w:numId="22" w16cid:durableId="1667975670">
    <w:abstractNumId w:val="42"/>
  </w:num>
  <w:num w:numId="23" w16cid:durableId="537165068">
    <w:abstractNumId w:val="59"/>
  </w:num>
  <w:num w:numId="24" w16cid:durableId="1009406287">
    <w:abstractNumId w:val="1"/>
  </w:num>
  <w:num w:numId="25" w16cid:durableId="1721242268">
    <w:abstractNumId w:val="31"/>
  </w:num>
  <w:num w:numId="26" w16cid:durableId="561869991">
    <w:abstractNumId w:val="14"/>
  </w:num>
  <w:num w:numId="27" w16cid:durableId="1106147893">
    <w:abstractNumId w:val="12"/>
  </w:num>
  <w:num w:numId="28" w16cid:durableId="543173934">
    <w:abstractNumId w:val="35"/>
  </w:num>
  <w:num w:numId="29" w16cid:durableId="296185781">
    <w:abstractNumId w:val="24"/>
  </w:num>
  <w:num w:numId="30" w16cid:durableId="809397424">
    <w:abstractNumId w:val="7"/>
  </w:num>
  <w:num w:numId="31" w16cid:durableId="590894352">
    <w:abstractNumId w:val="37"/>
  </w:num>
  <w:num w:numId="32" w16cid:durableId="1758480566">
    <w:abstractNumId w:val="57"/>
  </w:num>
  <w:num w:numId="33" w16cid:durableId="327564346">
    <w:abstractNumId w:val="21"/>
  </w:num>
  <w:num w:numId="34" w16cid:durableId="63651830">
    <w:abstractNumId w:val="61"/>
  </w:num>
  <w:num w:numId="35" w16cid:durableId="879130377">
    <w:abstractNumId w:val="17"/>
  </w:num>
  <w:num w:numId="36" w16cid:durableId="980841837">
    <w:abstractNumId w:val="11"/>
  </w:num>
  <w:num w:numId="37" w16cid:durableId="815268816">
    <w:abstractNumId w:val="40"/>
  </w:num>
  <w:num w:numId="38" w16cid:durableId="1770658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7730919">
    <w:abstractNumId w:val="54"/>
  </w:num>
  <w:num w:numId="40" w16cid:durableId="1822650296">
    <w:abstractNumId w:val="56"/>
  </w:num>
  <w:num w:numId="41" w16cid:durableId="1269970977">
    <w:abstractNumId w:val="47"/>
  </w:num>
  <w:num w:numId="42" w16cid:durableId="1295140042">
    <w:abstractNumId w:val="46"/>
  </w:num>
  <w:num w:numId="43" w16cid:durableId="1410497392">
    <w:abstractNumId w:val="44"/>
  </w:num>
  <w:num w:numId="44" w16cid:durableId="616908991">
    <w:abstractNumId w:val="22"/>
  </w:num>
  <w:num w:numId="45" w16cid:durableId="1455321563">
    <w:abstractNumId w:val="16"/>
  </w:num>
  <w:num w:numId="46" w16cid:durableId="1471358377">
    <w:abstractNumId w:val="32"/>
  </w:num>
  <w:num w:numId="47" w16cid:durableId="999622889">
    <w:abstractNumId w:val="15"/>
  </w:num>
  <w:num w:numId="48" w16cid:durableId="472066348">
    <w:abstractNumId w:val="2"/>
  </w:num>
  <w:num w:numId="49" w16cid:durableId="815295049">
    <w:abstractNumId w:val="55"/>
  </w:num>
  <w:num w:numId="50" w16cid:durableId="1098794598">
    <w:abstractNumId w:val="49"/>
  </w:num>
  <w:num w:numId="51" w16cid:durableId="1350255274">
    <w:abstractNumId w:val="62"/>
  </w:num>
  <w:num w:numId="52" w16cid:durableId="1969847275">
    <w:abstractNumId w:val="34"/>
  </w:num>
  <w:num w:numId="53" w16cid:durableId="470295899">
    <w:abstractNumId w:val="3"/>
  </w:num>
  <w:num w:numId="54" w16cid:durableId="1787580511">
    <w:abstractNumId w:val="50"/>
  </w:num>
  <w:num w:numId="55" w16cid:durableId="197132385">
    <w:abstractNumId w:val="26"/>
  </w:num>
  <w:num w:numId="56" w16cid:durableId="950742624">
    <w:abstractNumId w:val="41"/>
  </w:num>
  <w:num w:numId="57" w16cid:durableId="1495534479">
    <w:abstractNumId w:val="33"/>
  </w:num>
  <w:num w:numId="58" w16cid:durableId="1743482422">
    <w:abstractNumId w:val="8"/>
    <w:lvlOverride w:ilvl="0">
      <w:startOverride w:val="6"/>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8819086">
    <w:abstractNumId w:val="8"/>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09749788">
    <w:abstractNumId w:val="8"/>
    <w:lvlOverride w:ilvl="0">
      <w:startOverride w:val="6"/>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2936149">
    <w:abstractNumId w:val="8"/>
    <w:lvlOverride w:ilvl="0">
      <w:startOverride w:val="6"/>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9978305">
    <w:abstractNumId w:val="8"/>
    <w:lvlOverride w:ilvl="0">
      <w:startOverride w:val="6"/>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72303100">
    <w:abstractNumId w:val="58"/>
  </w:num>
  <w:num w:numId="64" w16cid:durableId="1015612726">
    <w:abstractNumId w:val="43"/>
  </w:num>
  <w:num w:numId="65" w16cid:durableId="4890592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62952550">
    <w:abstractNumId w:val="4"/>
  </w:num>
  <w:num w:numId="67" w16cid:durableId="1202859047">
    <w:abstractNumId w:val="9"/>
  </w:num>
  <w:num w:numId="68" w16cid:durableId="697924124">
    <w:abstractNumId w:val="30"/>
  </w:num>
  <w:num w:numId="69" w16cid:durableId="1301763831">
    <w:abstractNumId w:val="23"/>
  </w:num>
  <w:num w:numId="70" w16cid:durableId="960377579">
    <w:abstractNumId w:val="20"/>
  </w:num>
  <w:num w:numId="71" w16cid:durableId="374505186">
    <w:abstractNumId w:val="53"/>
  </w:num>
  <w:num w:numId="72" w16cid:durableId="1298292249">
    <w:abstractNumId w:val="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6" w:nlCheck="1" w:checkStyle="0"/>
  <w:activeWritingStyle w:appName="MSWord" w:lang="de-CH"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en-AU" w:vendorID="64" w:dllVersion="0" w:nlCheck="1" w:checkStyle="0"/>
  <w:activeWritingStyle w:appName="MSWord" w:lang="de-DE" w:vendorID="64" w:dllVersion="0" w:nlCheck="1" w:checkStyle="0"/>
  <w:activeWritingStyle w:appName="MSWord" w:lang="fr-CH" w:vendorID="64" w:dllVersion="0" w:nlCheck="1" w:checkStyle="0"/>
  <w:proofState w:spelling="clean" w:grammar="clean"/>
  <w:doNotTrackFormatting/>
  <w:defaultTabStop w:val="720"/>
  <w:autoHyphenation/>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escription" w:val="AoA SIG - Draft 7 February 2020 (tracked)"/>
    <w:docVar w:name="DocNumberVersion" w:val=" "/>
  </w:docVars>
  <w:rsids>
    <w:rsidRoot w:val="00996222"/>
    <w:rsid w:val="00000EED"/>
    <w:rsid w:val="000057B5"/>
    <w:rsid w:val="00006161"/>
    <w:rsid w:val="0000746C"/>
    <w:rsid w:val="000105B5"/>
    <w:rsid w:val="00011F5A"/>
    <w:rsid w:val="000128A2"/>
    <w:rsid w:val="000128CC"/>
    <w:rsid w:val="000136AE"/>
    <w:rsid w:val="00013D7C"/>
    <w:rsid w:val="000165F6"/>
    <w:rsid w:val="000176D6"/>
    <w:rsid w:val="00017C61"/>
    <w:rsid w:val="000209C8"/>
    <w:rsid w:val="00020A9A"/>
    <w:rsid w:val="00020FC3"/>
    <w:rsid w:val="00027DB2"/>
    <w:rsid w:val="0003054C"/>
    <w:rsid w:val="000328A0"/>
    <w:rsid w:val="00032F57"/>
    <w:rsid w:val="000342C3"/>
    <w:rsid w:val="00034C7B"/>
    <w:rsid w:val="000363E2"/>
    <w:rsid w:val="000375B8"/>
    <w:rsid w:val="000403D8"/>
    <w:rsid w:val="00040CBF"/>
    <w:rsid w:val="00043AB3"/>
    <w:rsid w:val="00043F35"/>
    <w:rsid w:val="000440BE"/>
    <w:rsid w:val="00044227"/>
    <w:rsid w:val="000444DA"/>
    <w:rsid w:val="00045F66"/>
    <w:rsid w:val="00047BDD"/>
    <w:rsid w:val="000505FC"/>
    <w:rsid w:val="000515AF"/>
    <w:rsid w:val="00054BAC"/>
    <w:rsid w:val="00055347"/>
    <w:rsid w:val="00055954"/>
    <w:rsid w:val="000572D7"/>
    <w:rsid w:val="00057F3A"/>
    <w:rsid w:val="000602DF"/>
    <w:rsid w:val="0006169E"/>
    <w:rsid w:val="00061D72"/>
    <w:rsid w:val="00071C21"/>
    <w:rsid w:val="0007237E"/>
    <w:rsid w:val="00072790"/>
    <w:rsid w:val="00072E9C"/>
    <w:rsid w:val="00072F4F"/>
    <w:rsid w:val="00073CD3"/>
    <w:rsid w:val="0007535E"/>
    <w:rsid w:val="00075608"/>
    <w:rsid w:val="00075710"/>
    <w:rsid w:val="0007600D"/>
    <w:rsid w:val="00080023"/>
    <w:rsid w:val="000811DB"/>
    <w:rsid w:val="000814EA"/>
    <w:rsid w:val="00083E8D"/>
    <w:rsid w:val="00084801"/>
    <w:rsid w:val="000857DC"/>
    <w:rsid w:val="00085B4F"/>
    <w:rsid w:val="0008766B"/>
    <w:rsid w:val="000907A8"/>
    <w:rsid w:val="00092919"/>
    <w:rsid w:val="00093FDF"/>
    <w:rsid w:val="00095472"/>
    <w:rsid w:val="00095F40"/>
    <w:rsid w:val="00096877"/>
    <w:rsid w:val="00097F56"/>
    <w:rsid w:val="000A01D2"/>
    <w:rsid w:val="000A0954"/>
    <w:rsid w:val="000A141D"/>
    <w:rsid w:val="000A2D10"/>
    <w:rsid w:val="000A31F8"/>
    <w:rsid w:val="000A3AEF"/>
    <w:rsid w:val="000A4245"/>
    <w:rsid w:val="000A4CF9"/>
    <w:rsid w:val="000A5CD4"/>
    <w:rsid w:val="000A7FD0"/>
    <w:rsid w:val="000B131F"/>
    <w:rsid w:val="000B20AF"/>
    <w:rsid w:val="000B2317"/>
    <w:rsid w:val="000B33ED"/>
    <w:rsid w:val="000B3832"/>
    <w:rsid w:val="000B390A"/>
    <w:rsid w:val="000B39A5"/>
    <w:rsid w:val="000B4706"/>
    <w:rsid w:val="000B5535"/>
    <w:rsid w:val="000B62B9"/>
    <w:rsid w:val="000B6E64"/>
    <w:rsid w:val="000B6FFD"/>
    <w:rsid w:val="000C0243"/>
    <w:rsid w:val="000C07A2"/>
    <w:rsid w:val="000C140C"/>
    <w:rsid w:val="000C1BFF"/>
    <w:rsid w:val="000C24EA"/>
    <w:rsid w:val="000C36A3"/>
    <w:rsid w:val="000C3AA5"/>
    <w:rsid w:val="000C3DC0"/>
    <w:rsid w:val="000C4B24"/>
    <w:rsid w:val="000C51DE"/>
    <w:rsid w:val="000C5348"/>
    <w:rsid w:val="000C58FB"/>
    <w:rsid w:val="000D09C7"/>
    <w:rsid w:val="000D0F0B"/>
    <w:rsid w:val="000D16ED"/>
    <w:rsid w:val="000D35AF"/>
    <w:rsid w:val="000D4354"/>
    <w:rsid w:val="000D43F6"/>
    <w:rsid w:val="000D6C3B"/>
    <w:rsid w:val="000D6D51"/>
    <w:rsid w:val="000D7214"/>
    <w:rsid w:val="000E1928"/>
    <w:rsid w:val="000E228C"/>
    <w:rsid w:val="000F3D13"/>
    <w:rsid w:val="000F49FB"/>
    <w:rsid w:val="00100ADD"/>
    <w:rsid w:val="00102E2E"/>
    <w:rsid w:val="00103E0A"/>
    <w:rsid w:val="00104941"/>
    <w:rsid w:val="00104FD9"/>
    <w:rsid w:val="00105FEA"/>
    <w:rsid w:val="0010622C"/>
    <w:rsid w:val="00106D95"/>
    <w:rsid w:val="00107E10"/>
    <w:rsid w:val="00110C60"/>
    <w:rsid w:val="00114B59"/>
    <w:rsid w:val="00116BA6"/>
    <w:rsid w:val="00116CC4"/>
    <w:rsid w:val="001203D3"/>
    <w:rsid w:val="00121BA1"/>
    <w:rsid w:val="00122362"/>
    <w:rsid w:val="00123EB5"/>
    <w:rsid w:val="00124573"/>
    <w:rsid w:val="00124FED"/>
    <w:rsid w:val="00126A29"/>
    <w:rsid w:val="00127E64"/>
    <w:rsid w:val="00130524"/>
    <w:rsid w:val="00130856"/>
    <w:rsid w:val="001308A9"/>
    <w:rsid w:val="001334F0"/>
    <w:rsid w:val="00133E18"/>
    <w:rsid w:val="0013497F"/>
    <w:rsid w:val="00134DB6"/>
    <w:rsid w:val="00134E99"/>
    <w:rsid w:val="001355F5"/>
    <w:rsid w:val="0013574C"/>
    <w:rsid w:val="001359FF"/>
    <w:rsid w:val="00140C3A"/>
    <w:rsid w:val="00146B3E"/>
    <w:rsid w:val="00147ECD"/>
    <w:rsid w:val="0015035D"/>
    <w:rsid w:val="00150ACC"/>
    <w:rsid w:val="00150B26"/>
    <w:rsid w:val="001510CA"/>
    <w:rsid w:val="00151643"/>
    <w:rsid w:val="00152AE2"/>
    <w:rsid w:val="00152B99"/>
    <w:rsid w:val="0015477E"/>
    <w:rsid w:val="00154F91"/>
    <w:rsid w:val="00155CFE"/>
    <w:rsid w:val="00160425"/>
    <w:rsid w:val="00160E75"/>
    <w:rsid w:val="00161511"/>
    <w:rsid w:val="00166B7E"/>
    <w:rsid w:val="00166DD8"/>
    <w:rsid w:val="00167117"/>
    <w:rsid w:val="001677E5"/>
    <w:rsid w:val="00175B68"/>
    <w:rsid w:val="00176028"/>
    <w:rsid w:val="00176C5A"/>
    <w:rsid w:val="00176EE4"/>
    <w:rsid w:val="00177D4E"/>
    <w:rsid w:val="00180C43"/>
    <w:rsid w:val="001816F4"/>
    <w:rsid w:val="00181D94"/>
    <w:rsid w:val="00182D33"/>
    <w:rsid w:val="001850DE"/>
    <w:rsid w:val="00185670"/>
    <w:rsid w:val="00186558"/>
    <w:rsid w:val="0019026A"/>
    <w:rsid w:val="00193F73"/>
    <w:rsid w:val="0019488C"/>
    <w:rsid w:val="00195000"/>
    <w:rsid w:val="001A08AE"/>
    <w:rsid w:val="001A1DB5"/>
    <w:rsid w:val="001A2E09"/>
    <w:rsid w:val="001A307C"/>
    <w:rsid w:val="001A322C"/>
    <w:rsid w:val="001A395F"/>
    <w:rsid w:val="001A3BE4"/>
    <w:rsid w:val="001A4947"/>
    <w:rsid w:val="001A62E7"/>
    <w:rsid w:val="001A66B6"/>
    <w:rsid w:val="001B08AB"/>
    <w:rsid w:val="001B1B4E"/>
    <w:rsid w:val="001B23BC"/>
    <w:rsid w:val="001B3A67"/>
    <w:rsid w:val="001B3F06"/>
    <w:rsid w:val="001B45D3"/>
    <w:rsid w:val="001B5A03"/>
    <w:rsid w:val="001B5D55"/>
    <w:rsid w:val="001B6F72"/>
    <w:rsid w:val="001C0636"/>
    <w:rsid w:val="001C06F1"/>
    <w:rsid w:val="001C1D58"/>
    <w:rsid w:val="001C4D24"/>
    <w:rsid w:val="001C67C4"/>
    <w:rsid w:val="001C7B99"/>
    <w:rsid w:val="001D02DD"/>
    <w:rsid w:val="001D0374"/>
    <w:rsid w:val="001D133C"/>
    <w:rsid w:val="001D1373"/>
    <w:rsid w:val="001D51A9"/>
    <w:rsid w:val="001D51C6"/>
    <w:rsid w:val="001D6A5D"/>
    <w:rsid w:val="001D7580"/>
    <w:rsid w:val="001E0D6E"/>
    <w:rsid w:val="001E189E"/>
    <w:rsid w:val="001E3EB7"/>
    <w:rsid w:val="001E76BF"/>
    <w:rsid w:val="001F09DD"/>
    <w:rsid w:val="001F1338"/>
    <w:rsid w:val="001F2A55"/>
    <w:rsid w:val="001F39C6"/>
    <w:rsid w:val="001F4CFC"/>
    <w:rsid w:val="001F6BEF"/>
    <w:rsid w:val="001F7772"/>
    <w:rsid w:val="001F7FCB"/>
    <w:rsid w:val="002004B7"/>
    <w:rsid w:val="00202682"/>
    <w:rsid w:val="00202875"/>
    <w:rsid w:val="00202C73"/>
    <w:rsid w:val="00203E23"/>
    <w:rsid w:val="00205051"/>
    <w:rsid w:val="002106C8"/>
    <w:rsid w:val="00210726"/>
    <w:rsid w:val="00211162"/>
    <w:rsid w:val="00211A84"/>
    <w:rsid w:val="00213417"/>
    <w:rsid w:val="00213948"/>
    <w:rsid w:val="00220CE9"/>
    <w:rsid w:val="002211C1"/>
    <w:rsid w:val="00221938"/>
    <w:rsid w:val="00221CA2"/>
    <w:rsid w:val="002233B9"/>
    <w:rsid w:val="00224117"/>
    <w:rsid w:val="002275B8"/>
    <w:rsid w:val="00227E0A"/>
    <w:rsid w:val="00230BE3"/>
    <w:rsid w:val="00236269"/>
    <w:rsid w:val="002368C8"/>
    <w:rsid w:val="002417DD"/>
    <w:rsid w:val="00241DFD"/>
    <w:rsid w:val="00242CE0"/>
    <w:rsid w:val="002435EA"/>
    <w:rsid w:val="0025166C"/>
    <w:rsid w:val="0025337D"/>
    <w:rsid w:val="00256276"/>
    <w:rsid w:val="0025676A"/>
    <w:rsid w:val="002574BC"/>
    <w:rsid w:val="00257B65"/>
    <w:rsid w:val="002622CD"/>
    <w:rsid w:val="00263EC2"/>
    <w:rsid w:val="0026443F"/>
    <w:rsid w:val="002747F1"/>
    <w:rsid w:val="00275D43"/>
    <w:rsid w:val="00276E4A"/>
    <w:rsid w:val="00277218"/>
    <w:rsid w:val="00277BD3"/>
    <w:rsid w:val="00277F18"/>
    <w:rsid w:val="00281ADE"/>
    <w:rsid w:val="002824DB"/>
    <w:rsid w:val="00286062"/>
    <w:rsid w:val="00290BC4"/>
    <w:rsid w:val="00293506"/>
    <w:rsid w:val="00295CE7"/>
    <w:rsid w:val="00297C65"/>
    <w:rsid w:val="00297F71"/>
    <w:rsid w:val="002A052B"/>
    <w:rsid w:val="002A0750"/>
    <w:rsid w:val="002A10AB"/>
    <w:rsid w:val="002A2713"/>
    <w:rsid w:val="002A2924"/>
    <w:rsid w:val="002A29A3"/>
    <w:rsid w:val="002A2B61"/>
    <w:rsid w:val="002A6FB2"/>
    <w:rsid w:val="002A746A"/>
    <w:rsid w:val="002A7A00"/>
    <w:rsid w:val="002A7F67"/>
    <w:rsid w:val="002B0475"/>
    <w:rsid w:val="002B1927"/>
    <w:rsid w:val="002B40F6"/>
    <w:rsid w:val="002B57A5"/>
    <w:rsid w:val="002B5E9C"/>
    <w:rsid w:val="002B6DF0"/>
    <w:rsid w:val="002B77BC"/>
    <w:rsid w:val="002C03D3"/>
    <w:rsid w:val="002C21C9"/>
    <w:rsid w:val="002C234F"/>
    <w:rsid w:val="002C2D59"/>
    <w:rsid w:val="002C3320"/>
    <w:rsid w:val="002C3D5E"/>
    <w:rsid w:val="002C4A06"/>
    <w:rsid w:val="002C61EF"/>
    <w:rsid w:val="002D0641"/>
    <w:rsid w:val="002D0DD8"/>
    <w:rsid w:val="002D2202"/>
    <w:rsid w:val="002D2BC0"/>
    <w:rsid w:val="002D38BE"/>
    <w:rsid w:val="002D584F"/>
    <w:rsid w:val="002D6B69"/>
    <w:rsid w:val="002E0D39"/>
    <w:rsid w:val="002E0DC7"/>
    <w:rsid w:val="002E2B1B"/>
    <w:rsid w:val="002E4635"/>
    <w:rsid w:val="002E5AE3"/>
    <w:rsid w:val="002E642E"/>
    <w:rsid w:val="002E691C"/>
    <w:rsid w:val="002E7BF3"/>
    <w:rsid w:val="002F245F"/>
    <w:rsid w:val="002F26FC"/>
    <w:rsid w:val="002F3781"/>
    <w:rsid w:val="002F394D"/>
    <w:rsid w:val="002F3B5A"/>
    <w:rsid w:val="002F4AEC"/>
    <w:rsid w:val="002F51AE"/>
    <w:rsid w:val="002F537E"/>
    <w:rsid w:val="002F54A3"/>
    <w:rsid w:val="002F5963"/>
    <w:rsid w:val="002F5EC0"/>
    <w:rsid w:val="00300476"/>
    <w:rsid w:val="00301E37"/>
    <w:rsid w:val="00302DBC"/>
    <w:rsid w:val="00303393"/>
    <w:rsid w:val="00303C02"/>
    <w:rsid w:val="00303F85"/>
    <w:rsid w:val="00304F62"/>
    <w:rsid w:val="00305B8C"/>
    <w:rsid w:val="00307072"/>
    <w:rsid w:val="00310C61"/>
    <w:rsid w:val="00311EF6"/>
    <w:rsid w:val="003157DB"/>
    <w:rsid w:val="00315C13"/>
    <w:rsid w:val="00317A7F"/>
    <w:rsid w:val="00317C0C"/>
    <w:rsid w:val="00320738"/>
    <w:rsid w:val="00321609"/>
    <w:rsid w:val="003218D8"/>
    <w:rsid w:val="00322297"/>
    <w:rsid w:val="00322A57"/>
    <w:rsid w:val="003231AE"/>
    <w:rsid w:val="0032681B"/>
    <w:rsid w:val="003271E4"/>
    <w:rsid w:val="00330ED1"/>
    <w:rsid w:val="00331FEC"/>
    <w:rsid w:val="0033213A"/>
    <w:rsid w:val="003331D5"/>
    <w:rsid w:val="00334382"/>
    <w:rsid w:val="00334E7D"/>
    <w:rsid w:val="00341920"/>
    <w:rsid w:val="0034218C"/>
    <w:rsid w:val="00344F1F"/>
    <w:rsid w:val="003451FF"/>
    <w:rsid w:val="003466B5"/>
    <w:rsid w:val="0035036A"/>
    <w:rsid w:val="003511A1"/>
    <w:rsid w:val="0035160A"/>
    <w:rsid w:val="00356061"/>
    <w:rsid w:val="003570DD"/>
    <w:rsid w:val="00360487"/>
    <w:rsid w:val="00361C81"/>
    <w:rsid w:val="0036212C"/>
    <w:rsid w:val="00362FA0"/>
    <w:rsid w:val="00363F4A"/>
    <w:rsid w:val="003658BB"/>
    <w:rsid w:val="00365CC1"/>
    <w:rsid w:val="00366410"/>
    <w:rsid w:val="00367E8A"/>
    <w:rsid w:val="003723ED"/>
    <w:rsid w:val="003724CC"/>
    <w:rsid w:val="00372F07"/>
    <w:rsid w:val="00373870"/>
    <w:rsid w:val="00373B3B"/>
    <w:rsid w:val="003759A3"/>
    <w:rsid w:val="00375E94"/>
    <w:rsid w:val="0037733C"/>
    <w:rsid w:val="00381735"/>
    <w:rsid w:val="00381EC1"/>
    <w:rsid w:val="003839FB"/>
    <w:rsid w:val="00386076"/>
    <w:rsid w:val="003863ED"/>
    <w:rsid w:val="00386AF0"/>
    <w:rsid w:val="00391112"/>
    <w:rsid w:val="00391126"/>
    <w:rsid w:val="0039137D"/>
    <w:rsid w:val="00391819"/>
    <w:rsid w:val="00392DF5"/>
    <w:rsid w:val="00392F54"/>
    <w:rsid w:val="003931A9"/>
    <w:rsid w:val="003942EF"/>
    <w:rsid w:val="00397864"/>
    <w:rsid w:val="003A0D1E"/>
    <w:rsid w:val="003A285F"/>
    <w:rsid w:val="003A543A"/>
    <w:rsid w:val="003A5E6E"/>
    <w:rsid w:val="003A7429"/>
    <w:rsid w:val="003A7B2D"/>
    <w:rsid w:val="003B1BE0"/>
    <w:rsid w:val="003B35D7"/>
    <w:rsid w:val="003B6045"/>
    <w:rsid w:val="003B6343"/>
    <w:rsid w:val="003B64FB"/>
    <w:rsid w:val="003B7A61"/>
    <w:rsid w:val="003C1C5D"/>
    <w:rsid w:val="003C3173"/>
    <w:rsid w:val="003C3C03"/>
    <w:rsid w:val="003C3F34"/>
    <w:rsid w:val="003C4287"/>
    <w:rsid w:val="003C47D5"/>
    <w:rsid w:val="003C5047"/>
    <w:rsid w:val="003C60EF"/>
    <w:rsid w:val="003C614F"/>
    <w:rsid w:val="003D1DD0"/>
    <w:rsid w:val="003D5E3D"/>
    <w:rsid w:val="003D5E70"/>
    <w:rsid w:val="003D65A8"/>
    <w:rsid w:val="003E1241"/>
    <w:rsid w:val="003E3398"/>
    <w:rsid w:val="003E4B7D"/>
    <w:rsid w:val="003E52E6"/>
    <w:rsid w:val="003E651B"/>
    <w:rsid w:val="003E70AA"/>
    <w:rsid w:val="003E7B65"/>
    <w:rsid w:val="003F1883"/>
    <w:rsid w:val="0040021D"/>
    <w:rsid w:val="00400361"/>
    <w:rsid w:val="0040399F"/>
    <w:rsid w:val="00403B61"/>
    <w:rsid w:val="00404782"/>
    <w:rsid w:val="004104B2"/>
    <w:rsid w:val="00410A9F"/>
    <w:rsid w:val="004113CF"/>
    <w:rsid w:val="004117FF"/>
    <w:rsid w:val="00412733"/>
    <w:rsid w:val="004133D4"/>
    <w:rsid w:val="0041354A"/>
    <w:rsid w:val="004170D9"/>
    <w:rsid w:val="004208B8"/>
    <w:rsid w:val="004209A6"/>
    <w:rsid w:val="0042595E"/>
    <w:rsid w:val="00426693"/>
    <w:rsid w:val="00426F87"/>
    <w:rsid w:val="00430CBD"/>
    <w:rsid w:val="00432317"/>
    <w:rsid w:val="004328C7"/>
    <w:rsid w:val="0043407F"/>
    <w:rsid w:val="00434D3C"/>
    <w:rsid w:val="00435FA2"/>
    <w:rsid w:val="00436027"/>
    <w:rsid w:val="00436C31"/>
    <w:rsid w:val="00441D47"/>
    <w:rsid w:val="004425BE"/>
    <w:rsid w:val="0044314D"/>
    <w:rsid w:val="0044329D"/>
    <w:rsid w:val="004500EB"/>
    <w:rsid w:val="00450F26"/>
    <w:rsid w:val="00465621"/>
    <w:rsid w:val="00466CBB"/>
    <w:rsid w:val="00467912"/>
    <w:rsid w:val="00470085"/>
    <w:rsid w:val="0047476C"/>
    <w:rsid w:val="00475848"/>
    <w:rsid w:val="00475ABE"/>
    <w:rsid w:val="0047607F"/>
    <w:rsid w:val="0048015B"/>
    <w:rsid w:val="004819F4"/>
    <w:rsid w:val="00482FC1"/>
    <w:rsid w:val="00483480"/>
    <w:rsid w:val="00484A7C"/>
    <w:rsid w:val="00491B84"/>
    <w:rsid w:val="00492556"/>
    <w:rsid w:val="004932FA"/>
    <w:rsid w:val="00493D9D"/>
    <w:rsid w:val="00493EC2"/>
    <w:rsid w:val="00495902"/>
    <w:rsid w:val="004965A4"/>
    <w:rsid w:val="004965FD"/>
    <w:rsid w:val="004A07A5"/>
    <w:rsid w:val="004A1999"/>
    <w:rsid w:val="004A292E"/>
    <w:rsid w:val="004A307F"/>
    <w:rsid w:val="004A6C12"/>
    <w:rsid w:val="004A7342"/>
    <w:rsid w:val="004A7943"/>
    <w:rsid w:val="004B1254"/>
    <w:rsid w:val="004B31FB"/>
    <w:rsid w:val="004B5C2F"/>
    <w:rsid w:val="004B6EC0"/>
    <w:rsid w:val="004B7D16"/>
    <w:rsid w:val="004C1F4A"/>
    <w:rsid w:val="004C4209"/>
    <w:rsid w:val="004C4859"/>
    <w:rsid w:val="004C4E7F"/>
    <w:rsid w:val="004C549D"/>
    <w:rsid w:val="004C5521"/>
    <w:rsid w:val="004C586D"/>
    <w:rsid w:val="004D1010"/>
    <w:rsid w:val="004D2035"/>
    <w:rsid w:val="004D2283"/>
    <w:rsid w:val="004D3049"/>
    <w:rsid w:val="004D6F9B"/>
    <w:rsid w:val="004D77A3"/>
    <w:rsid w:val="004D77C3"/>
    <w:rsid w:val="004D7ACD"/>
    <w:rsid w:val="004E0178"/>
    <w:rsid w:val="004E2035"/>
    <w:rsid w:val="004E2A2A"/>
    <w:rsid w:val="004E3B2A"/>
    <w:rsid w:val="004E5948"/>
    <w:rsid w:val="004E605D"/>
    <w:rsid w:val="004E6B20"/>
    <w:rsid w:val="004E755F"/>
    <w:rsid w:val="004F1564"/>
    <w:rsid w:val="004F34E5"/>
    <w:rsid w:val="004F45DB"/>
    <w:rsid w:val="004F5E4C"/>
    <w:rsid w:val="0050086B"/>
    <w:rsid w:val="00500BE0"/>
    <w:rsid w:val="00500D73"/>
    <w:rsid w:val="005015CF"/>
    <w:rsid w:val="00503103"/>
    <w:rsid w:val="00503D8D"/>
    <w:rsid w:val="005078ED"/>
    <w:rsid w:val="00511237"/>
    <w:rsid w:val="0051125E"/>
    <w:rsid w:val="00511AD7"/>
    <w:rsid w:val="005124AA"/>
    <w:rsid w:val="005129B9"/>
    <w:rsid w:val="0051463D"/>
    <w:rsid w:val="00514859"/>
    <w:rsid w:val="00515CBF"/>
    <w:rsid w:val="0051734B"/>
    <w:rsid w:val="005175D9"/>
    <w:rsid w:val="005209E0"/>
    <w:rsid w:val="00531FE6"/>
    <w:rsid w:val="00532287"/>
    <w:rsid w:val="00532448"/>
    <w:rsid w:val="0053284F"/>
    <w:rsid w:val="005333A5"/>
    <w:rsid w:val="00533681"/>
    <w:rsid w:val="0053766A"/>
    <w:rsid w:val="0054072B"/>
    <w:rsid w:val="005432AF"/>
    <w:rsid w:val="005445DA"/>
    <w:rsid w:val="00547861"/>
    <w:rsid w:val="00553776"/>
    <w:rsid w:val="005551CD"/>
    <w:rsid w:val="0055529E"/>
    <w:rsid w:val="00556D0A"/>
    <w:rsid w:val="00557FFE"/>
    <w:rsid w:val="005604C5"/>
    <w:rsid w:val="005636F6"/>
    <w:rsid w:val="0056465E"/>
    <w:rsid w:val="0056488E"/>
    <w:rsid w:val="00564CDC"/>
    <w:rsid w:val="005658B1"/>
    <w:rsid w:val="00570368"/>
    <w:rsid w:val="00571C78"/>
    <w:rsid w:val="00572109"/>
    <w:rsid w:val="00572F39"/>
    <w:rsid w:val="00573398"/>
    <w:rsid w:val="00573E8E"/>
    <w:rsid w:val="00573F85"/>
    <w:rsid w:val="00574E26"/>
    <w:rsid w:val="00577301"/>
    <w:rsid w:val="00583FC8"/>
    <w:rsid w:val="00585137"/>
    <w:rsid w:val="00586BD6"/>
    <w:rsid w:val="0059308D"/>
    <w:rsid w:val="00594FE4"/>
    <w:rsid w:val="005964B2"/>
    <w:rsid w:val="0059713F"/>
    <w:rsid w:val="00597BAB"/>
    <w:rsid w:val="005A00DC"/>
    <w:rsid w:val="005A2BA5"/>
    <w:rsid w:val="005A3245"/>
    <w:rsid w:val="005A5656"/>
    <w:rsid w:val="005A5AE6"/>
    <w:rsid w:val="005A60CF"/>
    <w:rsid w:val="005A6473"/>
    <w:rsid w:val="005B1307"/>
    <w:rsid w:val="005B1F4E"/>
    <w:rsid w:val="005B3383"/>
    <w:rsid w:val="005B5492"/>
    <w:rsid w:val="005B5D41"/>
    <w:rsid w:val="005B5FA6"/>
    <w:rsid w:val="005B7351"/>
    <w:rsid w:val="005B778B"/>
    <w:rsid w:val="005C2436"/>
    <w:rsid w:val="005C27A9"/>
    <w:rsid w:val="005C3FAF"/>
    <w:rsid w:val="005C7325"/>
    <w:rsid w:val="005C750A"/>
    <w:rsid w:val="005C7D62"/>
    <w:rsid w:val="005C7E52"/>
    <w:rsid w:val="005C7E7A"/>
    <w:rsid w:val="005D0345"/>
    <w:rsid w:val="005D1A87"/>
    <w:rsid w:val="005D1E6C"/>
    <w:rsid w:val="005D368D"/>
    <w:rsid w:val="005D382D"/>
    <w:rsid w:val="005D6BA2"/>
    <w:rsid w:val="005D753B"/>
    <w:rsid w:val="005E0F98"/>
    <w:rsid w:val="005E2C9D"/>
    <w:rsid w:val="005E31C3"/>
    <w:rsid w:val="005E37F3"/>
    <w:rsid w:val="005E3B2E"/>
    <w:rsid w:val="005E450A"/>
    <w:rsid w:val="005E4C4F"/>
    <w:rsid w:val="005E571B"/>
    <w:rsid w:val="005E5BCF"/>
    <w:rsid w:val="005F2778"/>
    <w:rsid w:val="005F51AC"/>
    <w:rsid w:val="005F52F4"/>
    <w:rsid w:val="005F5319"/>
    <w:rsid w:val="00600CBA"/>
    <w:rsid w:val="00601237"/>
    <w:rsid w:val="00601916"/>
    <w:rsid w:val="00601B17"/>
    <w:rsid w:val="00601E54"/>
    <w:rsid w:val="00603CED"/>
    <w:rsid w:val="00604A38"/>
    <w:rsid w:val="00606710"/>
    <w:rsid w:val="00610625"/>
    <w:rsid w:val="0061628D"/>
    <w:rsid w:val="00620A77"/>
    <w:rsid w:val="0062148F"/>
    <w:rsid w:val="0062635F"/>
    <w:rsid w:val="006269B7"/>
    <w:rsid w:val="006303D2"/>
    <w:rsid w:val="00630E5E"/>
    <w:rsid w:val="00631087"/>
    <w:rsid w:val="006313E2"/>
    <w:rsid w:val="00632D74"/>
    <w:rsid w:val="006344CB"/>
    <w:rsid w:val="00634591"/>
    <w:rsid w:val="00634980"/>
    <w:rsid w:val="00634AD5"/>
    <w:rsid w:val="006365B5"/>
    <w:rsid w:val="00636E1C"/>
    <w:rsid w:val="00637FDF"/>
    <w:rsid w:val="006426B8"/>
    <w:rsid w:val="00643572"/>
    <w:rsid w:val="00643B80"/>
    <w:rsid w:val="0064565F"/>
    <w:rsid w:val="00645EE3"/>
    <w:rsid w:val="00647019"/>
    <w:rsid w:val="006470AA"/>
    <w:rsid w:val="00647376"/>
    <w:rsid w:val="00647477"/>
    <w:rsid w:val="006479C8"/>
    <w:rsid w:val="00647BCC"/>
    <w:rsid w:val="00650645"/>
    <w:rsid w:val="00650B2E"/>
    <w:rsid w:val="0065206D"/>
    <w:rsid w:val="00653B85"/>
    <w:rsid w:val="00654C43"/>
    <w:rsid w:val="006566E6"/>
    <w:rsid w:val="00657673"/>
    <w:rsid w:val="0066149F"/>
    <w:rsid w:val="0066367E"/>
    <w:rsid w:val="00663834"/>
    <w:rsid w:val="00663BEA"/>
    <w:rsid w:val="006640D4"/>
    <w:rsid w:val="00672672"/>
    <w:rsid w:val="0067412A"/>
    <w:rsid w:val="006748E8"/>
    <w:rsid w:val="00680488"/>
    <w:rsid w:val="00680ACC"/>
    <w:rsid w:val="00681444"/>
    <w:rsid w:val="0068160C"/>
    <w:rsid w:val="00681A7D"/>
    <w:rsid w:val="00681DF6"/>
    <w:rsid w:val="0068213E"/>
    <w:rsid w:val="00683757"/>
    <w:rsid w:val="00684FDF"/>
    <w:rsid w:val="00690B26"/>
    <w:rsid w:val="00691287"/>
    <w:rsid w:val="00691686"/>
    <w:rsid w:val="006918DC"/>
    <w:rsid w:val="00695B60"/>
    <w:rsid w:val="006A164E"/>
    <w:rsid w:val="006A424B"/>
    <w:rsid w:val="006A553A"/>
    <w:rsid w:val="006A5D31"/>
    <w:rsid w:val="006A7097"/>
    <w:rsid w:val="006A7693"/>
    <w:rsid w:val="006B57F0"/>
    <w:rsid w:val="006B661A"/>
    <w:rsid w:val="006B71E4"/>
    <w:rsid w:val="006C0352"/>
    <w:rsid w:val="006C07DE"/>
    <w:rsid w:val="006C08A0"/>
    <w:rsid w:val="006C09E9"/>
    <w:rsid w:val="006C183C"/>
    <w:rsid w:val="006C4159"/>
    <w:rsid w:val="006C47F1"/>
    <w:rsid w:val="006C6EA9"/>
    <w:rsid w:val="006C7524"/>
    <w:rsid w:val="006D0108"/>
    <w:rsid w:val="006D1179"/>
    <w:rsid w:val="006D1DF4"/>
    <w:rsid w:val="006D26DF"/>
    <w:rsid w:val="006D28D7"/>
    <w:rsid w:val="006D2CA9"/>
    <w:rsid w:val="006D372B"/>
    <w:rsid w:val="006D6DA0"/>
    <w:rsid w:val="006D7CEF"/>
    <w:rsid w:val="006E118A"/>
    <w:rsid w:val="006E39EE"/>
    <w:rsid w:val="006E3F06"/>
    <w:rsid w:val="006E44A7"/>
    <w:rsid w:val="006E45FF"/>
    <w:rsid w:val="006E4C1B"/>
    <w:rsid w:val="006E5238"/>
    <w:rsid w:val="006E5278"/>
    <w:rsid w:val="006E54AE"/>
    <w:rsid w:val="006E5B7B"/>
    <w:rsid w:val="006E5DA1"/>
    <w:rsid w:val="006E755D"/>
    <w:rsid w:val="006F0300"/>
    <w:rsid w:val="006F262B"/>
    <w:rsid w:val="006F3AE4"/>
    <w:rsid w:val="006F41FF"/>
    <w:rsid w:val="006F479E"/>
    <w:rsid w:val="006F73CA"/>
    <w:rsid w:val="006F73DD"/>
    <w:rsid w:val="006F7726"/>
    <w:rsid w:val="00700530"/>
    <w:rsid w:val="00701412"/>
    <w:rsid w:val="007016B3"/>
    <w:rsid w:val="00701D3D"/>
    <w:rsid w:val="007046FB"/>
    <w:rsid w:val="0070540C"/>
    <w:rsid w:val="0070665F"/>
    <w:rsid w:val="00706BB0"/>
    <w:rsid w:val="007110D6"/>
    <w:rsid w:val="00713AA2"/>
    <w:rsid w:val="00713BF3"/>
    <w:rsid w:val="00715FD5"/>
    <w:rsid w:val="007162E2"/>
    <w:rsid w:val="00717A7C"/>
    <w:rsid w:val="00720587"/>
    <w:rsid w:val="007205F5"/>
    <w:rsid w:val="00721204"/>
    <w:rsid w:val="007218CF"/>
    <w:rsid w:val="00723990"/>
    <w:rsid w:val="00723BEA"/>
    <w:rsid w:val="00724251"/>
    <w:rsid w:val="0072461D"/>
    <w:rsid w:val="007251D0"/>
    <w:rsid w:val="00725E47"/>
    <w:rsid w:val="0072673B"/>
    <w:rsid w:val="007270C6"/>
    <w:rsid w:val="00727219"/>
    <w:rsid w:val="007272A5"/>
    <w:rsid w:val="00727946"/>
    <w:rsid w:val="0073023B"/>
    <w:rsid w:val="0073131F"/>
    <w:rsid w:val="00731F36"/>
    <w:rsid w:val="00732B92"/>
    <w:rsid w:val="007348BC"/>
    <w:rsid w:val="00734971"/>
    <w:rsid w:val="00736B2C"/>
    <w:rsid w:val="00736E90"/>
    <w:rsid w:val="00737E63"/>
    <w:rsid w:val="00740340"/>
    <w:rsid w:val="00740BB0"/>
    <w:rsid w:val="0074245D"/>
    <w:rsid w:val="0074430E"/>
    <w:rsid w:val="00744E2A"/>
    <w:rsid w:val="007450CB"/>
    <w:rsid w:val="007462CD"/>
    <w:rsid w:val="00746E80"/>
    <w:rsid w:val="00747C26"/>
    <w:rsid w:val="00751BBB"/>
    <w:rsid w:val="007537E4"/>
    <w:rsid w:val="00753DAB"/>
    <w:rsid w:val="00754952"/>
    <w:rsid w:val="00754C92"/>
    <w:rsid w:val="00756AF5"/>
    <w:rsid w:val="007609AD"/>
    <w:rsid w:val="00760FFE"/>
    <w:rsid w:val="007623D3"/>
    <w:rsid w:val="00762571"/>
    <w:rsid w:val="007627BE"/>
    <w:rsid w:val="007633E6"/>
    <w:rsid w:val="007649DD"/>
    <w:rsid w:val="0076570A"/>
    <w:rsid w:val="00767E9C"/>
    <w:rsid w:val="0077196D"/>
    <w:rsid w:val="00772B8E"/>
    <w:rsid w:val="00774356"/>
    <w:rsid w:val="00775BD4"/>
    <w:rsid w:val="00776393"/>
    <w:rsid w:val="00777F82"/>
    <w:rsid w:val="007802B8"/>
    <w:rsid w:val="00780F91"/>
    <w:rsid w:val="007816C0"/>
    <w:rsid w:val="00782873"/>
    <w:rsid w:val="007835CC"/>
    <w:rsid w:val="007836E4"/>
    <w:rsid w:val="00783F21"/>
    <w:rsid w:val="00785E76"/>
    <w:rsid w:val="0078644A"/>
    <w:rsid w:val="0079105C"/>
    <w:rsid w:val="0079429B"/>
    <w:rsid w:val="00796205"/>
    <w:rsid w:val="00796D80"/>
    <w:rsid w:val="007977CB"/>
    <w:rsid w:val="007977D2"/>
    <w:rsid w:val="007A0377"/>
    <w:rsid w:val="007A2164"/>
    <w:rsid w:val="007A378E"/>
    <w:rsid w:val="007A4E3B"/>
    <w:rsid w:val="007A6921"/>
    <w:rsid w:val="007A6FDF"/>
    <w:rsid w:val="007A7D25"/>
    <w:rsid w:val="007B115B"/>
    <w:rsid w:val="007B16DD"/>
    <w:rsid w:val="007B1AA1"/>
    <w:rsid w:val="007B3B01"/>
    <w:rsid w:val="007B4D2D"/>
    <w:rsid w:val="007B4FAB"/>
    <w:rsid w:val="007B6F19"/>
    <w:rsid w:val="007B7F2F"/>
    <w:rsid w:val="007C12A0"/>
    <w:rsid w:val="007C2D56"/>
    <w:rsid w:val="007C45ED"/>
    <w:rsid w:val="007C4D87"/>
    <w:rsid w:val="007C6600"/>
    <w:rsid w:val="007C6A98"/>
    <w:rsid w:val="007D06D9"/>
    <w:rsid w:val="007D09AF"/>
    <w:rsid w:val="007D1FEB"/>
    <w:rsid w:val="007D22AC"/>
    <w:rsid w:val="007D53AF"/>
    <w:rsid w:val="007D583B"/>
    <w:rsid w:val="007D65A4"/>
    <w:rsid w:val="007D7737"/>
    <w:rsid w:val="007D7F08"/>
    <w:rsid w:val="007E1336"/>
    <w:rsid w:val="007E18F4"/>
    <w:rsid w:val="007E1F35"/>
    <w:rsid w:val="007E2944"/>
    <w:rsid w:val="007E2CEF"/>
    <w:rsid w:val="007E35B9"/>
    <w:rsid w:val="007E538F"/>
    <w:rsid w:val="007E57F9"/>
    <w:rsid w:val="007E70B9"/>
    <w:rsid w:val="007F0265"/>
    <w:rsid w:val="007F11C7"/>
    <w:rsid w:val="007F5D73"/>
    <w:rsid w:val="007F78CB"/>
    <w:rsid w:val="00800064"/>
    <w:rsid w:val="00801892"/>
    <w:rsid w:val="0080206F"/>
    <w:rsid w:val="00802359"/>
    <w:rsid w:val="00803A2B"/>
    <w:rsid w:val="00807F06"/>
    <w:rsid w:val="0081065F"/>
    <w:rsid w:val="008112F1"/>
    <w:rsid w:val="00811D75"/>
    <w:rsid w:val="008123EB"/>
    <w:rsid w:val="008124D2"/>
    <w:rsid w:val="0081620C"/>
    <w:rsid w:val="0081798A"/>
    <w:rsid w:val="00820547"/>
    <w:rsid w:val="0082067E"/>
    <w:rsid w:val="008229B0"/>
    <w:rsid w:val="008229E3"/>
    <w:rsid w:val="00824564"/>
    <w:rsid w:val="0082633E"/>
    <w:rsid w:val="008266FF"/>
    <w:rsid w:val="00826727"/>
    <w:rsid w:val="008269E7"/>
    <w:rsid w:val="00827159"/>
    <w:rsid w:val="008274D8"/>
    <w:rsid w:val="00827CB5"/>
    <w:rsid w:val="008322B3"/>
    <w:rsid w:val="008323AD"/>
    <w:rsid w:val="00832A8D"/>
    <w:rsid w:val="00833BF4"/>
    <w:rsid w:val="00834730"/>
    <w:rsid w:val="00834BCD"/>
    <w:rsid w:val="00835146"/>
    <w:rsid w:val="00836986"/>
    <w:rsid w:val="00836AC2"/>
    <w:rsid w:val="00837E34"/>
    <w:rsid w:val="0084172B"/>
    <w:rsid w:val="00842E3D"/>
    <w:rsid w:val="00844E4B"/>
    <w:rsid w:val="00845CEC"/>
    <w:rsid w:val="00846214"/>
    <w:rsid w:val="00846CDA"/>
    <w:rsid w:val="0085162B"/>
    <w:rsid w:val="008518C3"/>
    <w:rsid w:val="00851B7D"/>
    <w:rsid w:val="0085288E"/>
    <w:rsid w:val="00852D98"/>
    <w:rsid w:val="00853282"/>
    <w:rsid w:val="00855295"/>
    <w:rsid w:val="00855F3A"/>
    <w:rsid w:val="0085763F"/>
    <w:rsid w:val="00857D67"/>
    <w:rsid w:val="00860BBC"/>
    <w:rsid w:val="00863448"/>
    <w:rsid w:val="00864E0D"/>
    <w:rsid w:val="00866244"/>
    <w:rsid w:val="008670F4"/>
    <w:rsid w:val="00871658"/>
    <w:rsid w:val="00871D9E"/>
    <w:rsid w:val="00871FE9"/>
    <w:rsid w:val="00872260"/>
    <w:rsid w:val="0087447E"/>
    <w:rsid w:val="008800CA"/>
    <w:rsid w:val="008823F1"/>
    <w:rsid w:val="00882C45"/>
    <w:rsid w:val="00884559"/>
    <w:rsid w:val="0088580C"/>
    <w:rsid w:val="008871B6"/>
    <w:rsid w:val="008911B1"/>
    <w:rsid w:val="0089188F"/>
    <w:rsid w:val="00893661"/>
    <w:rsid w:val="00894FD9"/>
    <w:rsid w:val="00895A08"/>
    <w:rsid w:val="00896636"/>
    <w:rsid w:val="00896C23"/>
    <w:rsid w:val="008A2EAC"/>
    <w:rsid w:val="008A3A29"/>
    <w:rsid w:val="008A3D0D"/>
    <w:rsid w:val="008A6477"/>
    <w:rsid w:val="008B17CD"/>
    <w:rsid w:val="008B319A"/>
    <w:rsid w:val="008B4E89"/>
    <w:rsid w:val="008B5EB4"/>
    <w:rsid w:val="008B6527"/>
    <w:rsid w:val="008B678C"/>
    <w:rsid w:val="008B6AB5"/>
    <w:rsid w:val="008B6E4D"/>
    <w:rsid w:val="008C0691"/>
    <w:rsid w:val="008C0B43"/>
    <w:rsid w:val="008C1F88"/>
    <w:rsid w:val="008C296C"/>
    <w:rsid w:val="008C4DC3"/>
    <w:rsid w:val="008C4E22"/>
    <w:rsid w:val="008C512A"/>
    <w:rsid w:val="008C690F"/>
    <w:rsid w:val="008C745D"/>
    <w:rsid w:val="008C782D"/>
    <w:rsid w:val="008C7D9E"/>
    <w:rsid w:val="008D0FCC"/>
    <w:rsid w:val="008D2474"/>
    <w:rsid w:val="008D5F5E"/>
    <w:rsid w:val="008D623E"/>
    <w:rsid w:val="008D7044"/>
    <w:rsid w:val="008E0AC3"/>
    <w:rsid w:val="008E12A5"/>
    <w:rsid w:val="008E31B8"/>
    <w:rsid w:val="008E382F"/>
    <w:rsid w:val="008E44F8"/>
    <w:rsid w:val="008E61FC"/>
    <w:rsid w:val="008E67AF"/>
    <w:rsid w:val="008E7EE3"/>
    <w:rsid w:val="008E7FF7"/>
    <w:rsid w:val="008F0201"/>
    <w:rsid w:val="008F0353"/>
    <w:rsid w:val="008F13D8"/>
    <w:rsid w:val="008F296F"/>
    <w:rsid w:val="008F5CC7"/>
    <w:rsid w:val="008F6DDD"/>
    <w:rsid w:val="00900126"/>
    <w:rsid w:val="009013A3"/>
    <w:rsid w:val="00903C43"/>
    <w:rsid w:val="00907314"/>
    <w:rsid w:val="009108A8"/>
    <w:rsid w:val="009118C6"/>
    <w:rsid w:val="0091273D"/>
    <w:rsid w:val="009143F2"/>
    <w:rsid w:val="009166E2"/>
    <w:rsid w:val="00916FAC"/>
    <w:rsid w:val="009209DB"/>
    <w:rsid w:val="0092106D"/>
    <w:rsid w:val="009211ED"/>
    <w:rsid w:val="00921525"/>
    <w:rsid w:val="009216F8"/>
    <w:rsid w:val="0092171C"/>
    <w:rsid w:val="00921855"/>
    <w:rsid w:val="009238F5"/>
    <w:rsid w:val="00925786"/>
    <w:rsid w:val="00930BFE"/>
    <w:rsid w:val="00932B8E"/>
    <w:rsid w:val="00936F42"/>
    <w:rsid w:val="00937C7B"/>
    <w:rsid w:val="00937FAC"/>
    <w:rsid w:val="00940E2A"/>
    <w:rsid w:val="0094111F"/>
    <w:rsid w:val="00941BA6"/>
    <w:rsid w:val="00941E5D"/>
    <w:rsid w:val="009434F5"/>
    <w:rsid w:val="00943B64"/>
    <w:rsid w:val="009442B7"/>
    <w:rsid w:val="0094485E"/>
    <w:rsid w:val="00944EA4"/>
    <w:rsid w:val="00945B8A"/>
    <w:rsid w:val="00946A46"/>
    <w:rsid w:val="00950F0A"/>
    <w:rsid w:val="009512F8"/>
    <w:rsid w:val="00951531"/>
    <w:rsid w:val="00951B36"/>
    <w:rsid w:val="0095361D"/>
    <w:rsid w:val="009541A2"/>
    <w:rsid w:val="00955D4D"/>
    <w:rsid w:val="00956C2C"/>
    <w:rsid w:val="00960A07"/>
    <w:rsid w:val="00961935"/>
    <w:rsid w:val="00961F33"/>
    <w:rsid w:val="00963AA3"/>
    <w:rsid w:val="00964513"/>
    <w:rsid w:val="009649B4"/>
    <w:rsid w:val="00967008"/>
    <w:rsid w:val="00967EBF"/>
    <w:rsid w:val="00970633"/>
    <w:rsid w:val="00972361"/>
    <w:rsid w:val="00974A01"/>
    <w:rsid w:val="00974FCC"/>
    <w:rsid w:val="009755AE"/>
    <w:rsid w:val="00975B1C"/>
    <w:rsid w:val="00975D93"/>
    <w:rsid w:val="009810A7"/>
    <w:rsid w:val="00981B70"/>
    <w:rsid w:val="00982503"/>
    <w:rsid w:val="0098407E"/>
    <w:rsid w:val="00985859"/>
    <w:rsid w:val="009864EC"/>
    <w:rsid w:val="00987947"/>
    <w:rsid w:val="00990088"/>
    <w:rsid w:val="00993F29"/>
    <w:rsid w:val="0099586D"/>
    <w:rsid w:val="00995EF3"/>
    <w:rsid w:val="00996080"/>
    <w:rsid w:val="00996222"/>
    <w:rsid w:val="009964D7"/>
    <w:rsid w:val="00996C4E"/>
    <w:rsid w:val="00997938"/>
    <w:rsid w:val="00997FEB"/>
    <w:rsid w:val="009A1583"/>
    <w:rsid w:val="009A1592"/>
    <w:rsid w:val="009A1637"/>
    <w:rsid w:val="009A2FF6"/>
    <w:rsid w:val="009A4B3F"/>
    <w:rsid w:val="009A7DC9"/>
    <w:rsid w:val="009B14F4"/>
    <w:rsid w:val="009B20BF"/>
    <w:rsid w:val="009B2B57"/>
    <w:rsid w:val="009B2F9E"/>
    <w:rsid w:val="009B575C"/>
    <w:rsid w:val="009B6089"/>
    <w:rsid w:val="009B612E"/>
    <w:rsid w:val="009B731C"/>
    <w:rsid w:val="009C4030"/>
    <w:rsid w:val="009C4FB4"/>
    <w:rsid w:val="009D1555"/>
    <w:rsid w:val="009D28D8"/>
    <w:rsid w:val="009D2AFD"/>
    <w:rsid w:val="009D3033"/>
    <w:rsid w:val="009D3367"/>
    <w:rsid w:val="009D4A1F"/>
    <w:rsid w:val="009D4F40"/>
    <w:rsid w:val="009D6448"/>
    <w:rsid w:val="009D656C"/>
    <w:rsid w:val="009E1B77"/>
    <w:rsid w:val="009E1E3B"/>
    <w:rsid w:val="009E215B"/>
    <w:rsid w:val="009E35A2"/>
    <w:rsid w:val="009E4305"/>
    <w:rsid w:val="009E59E2"/>
    <w:rsid w:val="009E666B"/>
    <w:rsid w:val="009E67E0"/>
    <w:rsid w:val="009F04DF"/>
    <w:rsid w:val="009F1153"/>
    <w:rsid w:val="009F1A80"/>
    <w:rsid w:val="009F1C64"/>
    <w:rsid w:val="009F3809"/>
    <w:rsid w:val="009F68F6"/>
    <w:rsid w:val="009F6F3D"/>
    <w:rsid w:val="00A0318A"/>
    <w:rsid w:val="00A04026"/>
    <w:rsid w:val="00A04314"/>
    <w:rsid w:val="00A0457D"/>
    <w:rsid w:val="00A05060"/>
    <w:rsid w:val="00A07EA9"/>
    <w:rsid w:val="00A10BBB"/>
    <w:rsid w:val="00A10CC3"/>
    <w:rsid w:val="00A11F0D"/>
    <w:rsid w:val="00A12578"/>
    <w:rsid w:val="00A13B1D"/>
    <w:rsid w:val="00A13D19"/>
    <w:rsid w:val="00A1421C"/>
    <w:rsid w:val="00A1439E"/>
    <w:rsid w:val="00A14F4C"/>
    <w:rsid w:val="00A15A4B"/>
    <w:rsid w:val="00A15D0E"/>
    <w:rsid w:val="00A15F62"/>
    <w:rsid w:val="00A162C0"/>
    <w:rsid w:val="00A178D4"/>
    <w:rsid w:val="00A21096"/>
    <w:rsid w:val="00A2176F"/>
    <w:rsid w:val="00A21C2A"/>
    <w:rsid w:val="00A22799"/>
    <w:rsid w:val="00A2347A"/>
    <w:rsid w:val="00A26F3C"/>
    <w:rsid w:val="00A27D7C"/>
    <w:rsid w:val="00A3072E"/>
    <w:rsid w:val="00A311FB"/>
    <w:rsid w:val="00A31D42"/>
    <w:rsid w:val="00A3221A"/>
    <w:rsid w:val="00A33415"/>
    <w:rsid w:val="00A36E7E"/>
    <w:rsid w:val="00A4004C"/>
    <w:rsid w:val="00A41AA8"/>
    <w:rsid w:val="00A4218B"/>
    <w:rsid w:val="00A42689"/>
    <w:rsid w:val="00A4278B"/>
    <w:rsid w:val="00A43F01"/>
    <w:rsid w:val="00A44975"/>
    <w:rsid w:val="00A44A4D"/>
    <w:rsid w:val="00A46082"/>
    <w:rsid w:val="00A47EE2"/>
    <w:rsid w:val="00A5117D"/>
    <w:rsid w:val="00A53F20"/>
    <w:rsid w:val="00A56A99"/>
    <w:rsid w:val="00A56CA6"/>
    <w:rsid w:val="00A56D22"/>
    <w:rsid w:val="00A56E8A"/>
    <w:rsid w:val="00A57AF9"/>
    <w:rsid w:val="00A60BB2"/>
    <w:rsid w:val="00A64521"/>
    <w:rsid w:val="00A6453E"/>
    <w:rsid w:val="00A64A23"/>
    <w:rsid w:val="00A704CC"/>
    <w:rsid w:val="00A72DF8"/>
    <w:rsid w:val="00A7345A"/>
    <w:rsid w:val="00A73C25"/>
    <w:rsid w:val="00A74085"/>
    <w:rsid w:val="00A75797"/>
    <w:rsid w:val="00A76483"/>
    <w:rsid w:val="00A76B8E"/>
    <w:rsid w:val="00A775BB"/>
    <w:rsid w:val="00A80F40"/>
    <w:rsid w:val="00A81356"/>
    <w:rsid w:val="00A81555"/>
    <w:rsid w:val="00A8518C"/>
    <w:rsid w:val="00A86B30"/>
    <w:rsid w:val="00A8776E"/>
    <w:rsid w:val="00A902ED"/>
    <w:rsid w:val="00A91D34"/>
    <w:rsid w:val="00A92F61"/>
    <w:rsid w:val="00A93165"/>
    <w:rsid w:val="00A95A8F"/>
    <w:rsid w:val="00AA027E"/>
    <w:rsid w:val="00AA08DF"/>
    <w:rsid w:val="00AA11CD"/>
    <w:rsid w:val="00AA1B71"/>
    <w:rsid w:val="00AA1E79"/>
    <w:rsid w:val="00AA2302"/>
    <w:rsid w:val="00AA488B"/>
    <w:rsid w:val="00AA4EBF"/>
    <w:rsid w:val="00AA7B32"/>
    <w:rsid w:val="00AB0222"/>
    <w:rsid w:val="00AB26DD"/>
    <w:rsid w:val="00AB39F4"/>
    <w:rsid w:val="00AB3C33"/>
    <w:rsid w:val="00AB51AD"/>
    <w:rsid w:val="00AB56D2"/>
    <w:rsid w:val="00AB7EFA"/>
    <w:rsid w:val="00AC01D6"/>
    <w:rsid w:val="00AC217C"/>
    <w:rsid w:val="00AC3A88"/>
    <w:rsid w:val="00AC4156"/>
    <w:rsid w:val="00AC55CD"/>
    <w:rsid w:val="00AC6404"/>
    <w:rsid w:val="00AD02F8"/>
    <w:rsid w:val="00AD0372"/>
    <w:rsid w:val="00AD0B0F"/>
    <w:rsid w:val="00AD3CCF"/>
    <w:rsid w:val="00AD3CE0"/>
    <w:rsid w:val="00AD66FA"/>
    <w:rsid w:val="00AD6C53"/>
    <w:rsid w:val="00AD7922"/>
    <w:rsid w:val="00AD7C1B"/>
    <w:rsid w:val="00AE0001"/>
    <w:rsid w:val="00AE01CE"/>
    <w:rsid w:val="00AE0949"/>
    <w:rsid w:val="00AE12E4"/>
    <w:rsid w:val="00AE1EFF"/>
    <w:rsid w:val="00AE3956"/>
    <w:rsid w:val="00AE4177"/>
    <w:rsid w:val="00AE643E"/>
    <w:rsid w:val="00AE6C24"/>
    <w:rsid w:val="00AE71F2"/>
    <w:rsid w:val="00AE724C"/>
    <w:rsid w:val="00AE73CC"/>
    <w:rsid w:val="00AE7588"/>
    <w:rsid w:val="00AE7C49"/>
    <w:rsid w:val="00AF1587"/>
    <w:rsid w:val="00AF28C6"/>
    <w:rsid w:val="00AF2BFE"/>
    <w:rsid w:val="00AF5FC7"/>
    <w:rsid w:val="00AF6267"/>
    <w:rsid w:val="00AF6A8F"/>
    <w:rsid w:val="00AF74C4"/>
    <w:rsid w:val="00B03029"/>
    <w:rsid w:val="00B03181"/>
    <w:rsid w:val="00B04DA8"/>
    <w:rsid w:val="00B04DDE"/>
    <w:rsid w:val="00B05B80"/>
    <w:rsid w:val="00B06774"/>
    <w:rsid w:val="00B0683D"/>
    <w:rsid w:val="00B129A2"/>
    <w:rsid w:val="00B137B8"/>
    <w:rsid w:val="00B14566"/>
    <w:rsid w:val="00B15596"/>
    <w:rsid w:val="00B15DD6"/>
    <w:rsid w:val="00B17786"/>
    <w:rsid w:val="00B17CF5"/>
    <w:rsid w:val="00B20328"/>
    <w:rsid w:val="00B20523"/>
    <w:rsid w:val="00B209EB"/>
    <w:rsid w:val="00B214CF"/>
    <w:rsid w:val="00B2154F"/>
    <w:rsid w:val="00B21B25"/>
    <w:rsid w:val="00B22043"/>
    <w:rsid w:val="00B235BF"/>
    <w:rsid w:val="00B238A7"/>
    <w:rsid w:val="00B24D4D"/>
    <w:rsid w:val="00B25D6F"/>
    <w:rsid w:val="00B27C7B"/>
    <w:rsid w:val="00B311BC"/>
    <w:rsid w:val="00B31831"/>
    <w:rsid w:val="00B32234"/>
    <w:rsid w:val="00B325AD"/>
    <w:rsid w:val="00B33BB6"/>
    <w:rsid w:val="00B34D9A"/>
    <w:rsid w:val="00B40D3D"/>
    <w:rsid w:val="00B410B7"/>
    <w:rsid w:val="00B4261B"/>
    <w:rsid w:val="00B43212"/>
    <w:rsid w:val="00B43AF9"/>
    <w:rsid w:val="00B515A2"/>
    <w:rsid w:val="00B52EC3"/>
    <w:rsid w:val="00B52EC8"/>
    <w:rsid w:val="00B54E03"/>
    <w:rsid w:val="00B55160"/>
    <w:rsid w:val="00B553F2"/>
    <w:rsid w:val="00B563F6"/>
    <w:rsid w:val="00B5641C"/>
    <w:rsid w:val="00B57561"/>
    <w:rsid w:val="00B61614"/>
    <w:rsid w:val="00B6350D"/>
    <w:rsid w:val="00B635E4"/>
    <w:rsid w:val="00B64353"/>
    <w:rsid w:val="00B64BE4"/>
    <w:rsid w:val="00B652CA"/>
    <w:rsid w:val="00B65B4A"/>
    <w:rsid w:val="00B67AB0"/>
    <w:rsid w:val="00B70297"/>
    <w:rsid w:val="00B72326"/>
    <w:rsid w:val="00B73AF0"/>
    <w:rsid w:val="00B75942"/>
    <w:rsid w:val="00B8168A"/>
    <w:rsid w:val="00B81AB7"/>
    <w:rsid w:val="00B844FF"/>
    <w:rsid w:val="00B84D5A"/>
    <w:rsid w:val="00B877AA"/>
    <w:rsid w:val="00B87B27"/>
    <w:rsid w:val="00B9041A"/>
    <w:rsid w:val="00B90BF4"/>
    <w:rsid w:val="00B93375"/>
    <w:rsid w:val="00B93FA6"/>
    <w:rsid w:val="00B95AA2"/>
    <w:rsid w:val="00B964FE"/>
    <w:rsid w:val="00BA0AF1"/>
    <w:rsid w:val="00BA3F12"/>
    <w:rsid w:val="00BA754C"/>
    <w:rsid w:val="00BB0EFB"/>
    <w:rsid w:val="00BB4543"/>
    <w:rsid w:val="00BB4D83"/>
    <w:rsid w:val="00BB6627"/>
    <w:rsid w:val="00BB6F8A"/>
    <w:rsid w:val="00BB74AE"/>
    <w:rsid w:val="00BB7A2F"/>
    <w:rsid w:val="00BB7FA4"/>
    <w:rsid w:val="00BC15C5"/>
    <w:rsid w:val="00BC21F5"/>
    <w:rsid w:val="00BC2C17"/>
    <w:rsid w:val="00BC2FA8"/>
    <w:rsid w:val="00BC36AF"/>
    <w:rsid w:val="00BC5C54"/>
    <w:rsid w:val="00BC6214"/>
    <w:rsid w:val="00BC6D88"/>
    <w:rsid w:val="00BC753A"/>
    <w:rsid w:val="00BC76F0"/>
    <w:rsid w:val="00BC783A"/>
    <w:rsid w:val="00BD6255"/>
    <w:rsid w:val="00BD6294"/>
    <w:rsid w:val="00BD6CE7"/>
    <w:rsid w:val="00BE4C91"/>
    <w:rsid w:val="00BE5050"/>
    <w:rsid w:val="00BF1ED2"/>
    <w:rsid w:val="00BF20FD"/>
    <w:rsid w:val="00BF3912"/>
    <w:rsid w:val="00BF454E"/>
    <w:rsid w:val="00BF4878"/>
    <w:rsid w:val="00BF5440"/>
    <w:rsid w:val="00BF7B9D"/>
    <w:rsid w:val="00C00A4E"/>
    <w:rsid w:val="00C02C54"/>
    <w:rsid w:val="00C04909"/>
    <w:rsid w:val="00C07C2D"/>
    <w:rsid w:val="00C11F18"/>
    <w:rsid w:val="00C12349"/>
    <w:rsid w:val="00C12822"/>
    <w:rsid w:val="00C157E2"/>
    <w:rsid w:val="00C16D64"/>
    <w:rsid w:val="00C170A5"/>
    <w:rsid w:val="00C17D96"/>
    <w:rsid w:val="00C21CD6"/>
    <w:rsid w:val="00C2261E"/>
    <w:rsid w:val="00C25127"/>
    <w:rsid w:val="00C25528"/>
    <w:rsid w:val="00C25A75"/>
    <w:rsid w:val="00C26C8C"/>
    <w:rsid w:val="00C322F9"/>
    <w:rsid w:val="00C3259F"/>
    <w:rsid w:val="00C3394A"/>
    <w:rsid w:val="00C34896"/>
    <w:rsid w:val="00C34EFA"/>
    <w:rsid w:val="00C353B4"/>
    <w:rsid w:val="00C367BB"/>
    <w:rsid w:val="00C36A2B"/>
    <w:rsid w:val="00C374E5"/>
    <w:rsid w:val="00C379C1"/>
    <w:rsid w:val="00C4177B"/>
    <w:rsid w:val="00C41AC5"/>
    <w:rsid w:val="00C43331"/>
    <w:rsid w:val="00C44A4E"/>
    <w:rsid w:val="00C45063"/>
    <w:rsid w:val="00C4722A"/>
    <w:rsid w:val="00C5034A"/>
    <w:rsid w:val="00C52E98"/>
    <w:rsid w:val="00C52F5B"/>
    <w:rsid w:val="00C53ED5"/>
    <w:rsid w:val="00C547AD"/>
    <w:rsid w:val="00C55B68"/>
    <w:rsid w:val="00C60656"/>
    <w:rsid w:val="00C61CA1"/>
    <w:rsid w:val="00C62486"/>
    <w:rsid w:val="00C62C86"/>
    <w:rsid w:val="00C64455"/>
    <w:rsid w:val="00C649A5"/>
    <w:rsid w:val="00C655E8"/>
    <w:rsid w:val="00C66483"/>
    <w:rsid w:val="00C666C2"/>
    <w:rsid w:val="00C6690A"/>
    <w:rsid w:val="00C721D6"/>
    <w:rsid w:val="00C7325A"/>
    <w:rsid w:val="00C76C4C"/>
    <w:rsid w:val="00C77C9C"/>
    <w:rsid w:val="00C825D6"/>
    <w:rsid w:val="00C83ED5"/>
    <w:rsid w:val="00C857FB"/>
    <w:rsid w:val="00C90D3E"/>
    <w:rsid w:val="00C91BB1"/>
    <w:rsid w:val="00C92A21"/>
    <w:rsid w:val="00C93DDE"/>
    <w:rsid w:val="00C9696C"/>
    <w:rsid w:val="00C9727A"/>
    <w:rsid w:val="00CA1386"/>
    <w:rsid w:val="00CA5D27"/>
    <w:rsid w:val="00CA6027"/>
    <w:rsid w:val="00CB0A25"/>
    <w:rsid w:val="00CB17CD"/>
    <w:rsid w:val="00CB203F"/>
    <w:rsid w:val="00CB3BFB"/>
    <w:rsid w:val="00CB4C52"/>
    <w:rsid w:val="00CB5848"/>
    <w:rsid w:val="00CB77C1"/>
    <w:rsid w:val="00CC3222"/>
    <w:rsid w:val="00CC651E"/>
    <w:rsid w:val="00CC7752"/>
    <w:rsid w:val="00CD17F8"/>
    <w:rsid w:val="00CD23E8"/>
    <w:rsid w:val="00CD3AC3"/>
    <w:rsid w:val="00CD4531"/>
    <w:rsid w:val="00CD6C73"/>
    <w:rsid w:val="00CE0656"/>
    <w:rsid w:val="00CE0700"/>
    <w:rsid w:val="00CE21EC"/>
    <w:rsid w:val="00CE4773"/>
    <w:rsid w:val="00CE64CE"/>
    <w:rsid w:val="00CE67AE"/>
    <w:rsid w:val="00CF1DC2"/>
    <w:rsid w:val="00CF4275"/>
    <w:rsid w:val="00D00AB3"/>
    <w:rsid w:val="00D022C9"/>
    <w:rsid w:val="00D04AA4"/>
    <w:rsid w:val="00D04D00"/>
    <w:rsid w:val="00D060A1"/>
    <w:rsid w:val="00D13122"/>
    <w:rsid w:val="00D13297"/>
    <w:rsid w:val="00D1356E"/>
    <w:rsid w:val="00D154D7"/>
    <w:rsid w:val="00D206FC"/>
    <w:rsid w:val="00D21AC1"/>
    <w:rsid w:val="00D2592B"/>
    <w:rsid w:val="00D26026"/>
    <w:rsid w:val="00D30B1F"/>
    <w:rsid w:val="00D3121D"/>
    <w:rsid w:val="00D327C4"/>
    <w:rsid w:val="00D354B4"/>
    <w:rsid w:val="00D35C3E"/>
    <w:rsid w:val="00D35DFF"/>
    <w:rsid w:val="00D35E1B"/>
    <w:rsid w:val="00D37BBE"/>
    <w:rsid w:val="00D40A4F"/>
    <w:rsid w:val="00D41216"/>
    <w:rsid w:val="00D42A11"/>
    <w:rsid w:val="00D44677"/>
    <w:rsid w:val="00D44924"/>
    <w:rsid w:val="00D451E1"/>
    <w:rsid w:val="00D45833"/>
    <w:rsid w:val="00D46F15"/>
    <w:rsid w:val="00D47D27"/>
    <w:rsid w:val="00D5088B"/>
    <w:rsid w:val="00D53BAB"/>
    <w:rsid w:val="00D56407"/>
    <w:rsid w:val="00D56A81"/>
    <w:rsid w:val="00D57191"/>
    <w:rsid w:val="00D62C95"/>
    <w:rsid w:val="00D65001"/>
    <w:rsid w:val="00D660B3"/>
    <w:rsid w:val="00D660CD"/>
    <w:rsid w:val="00D66C9B"/>
    <w:rsid w:val="00D67BD5"/>
    <w:rsid w:val="00D707C1"/>
    <w:rsid w:val="00D7139B"/>
    <w:rsid w:val="00D73C95"/>
    <w:rsid w:val="00D751F0"/>
    <w:rsid w:val="00D76CE5"/>
    <w:rsid w:val="00D77A1C"/>
    <w:rsid w:val="00D77A1E"/>
    <w:rsid w:val="00D83C83"/>
    <w:rsid w:val="00D852AD"/>
    <w:rsid w:val="00D869F3"/>
    <w:rsid w:val="00D86EB6"/>
    <w:rsid w:val="00D87667"/>
    <w:rsid w:val="00D9100F"/>
    <w:rsid w:val="00D91BDB"/>
    <w:rsid w:val="00D934EE"/>
    <w:rsid w:val="00D94D91"/>
    <w:rsid w:val="00D95779"/>
    <w:rsid w:val="00D96058"/>
    <w:rsid w:val="00D96C82"/>
    <w:rsid w:val="00D96E39"/>
    <w:rsid w:val="00D971E1"/>
    <w:rsid w:val="00DA01B5"/>
    <w:rsid w:val="00DA0C6C"/>
    <w:rsid w:val="00DA0EFD"/>
    <w:rsid w:val="00DA1B84"/>
    <w:rsid w:val="00DA2B07"/>
    <w:rsid w:val="00DA2B5C"/>
    <w:rsid w:val="00DA2DDC"/>
    <w:rsid w:val="00DA680C"/>
    <w:rsid w:val="00DA7F14"/>
    <w:rsid w:val="00DB0233"/>
    <w:rsid w:val="00DB1566"/>
    <w:rsid w:val="00DB1FFD"/>
    <w:rsid w:val="00DB4CEB"/>
    <w:rsid w:val="00DB5139"/>
    <w:rsid w:val="00DB53DD"/>
    <w:rsid w:val="00DC106C"/>
    <w:rsid w:val="00DC1CD5"/>
    <w:rsid w:val="00DC247A"/>
    <w:rsid w:val="00DC4E66"/>
    <w:rsid w:val="00DC4EEB"/>
    <w:rsid w:val="00DC5D23"/>
    <w:rsid w:val="00DC5EF5"/>
    <w:rsid w:val="00DC691B"/>
    <w:rsid w:val="00DC7D1C"/>
    <w:rsid w:val="00DD0068"/>
    <w:rsid w:val="00DD097C"/>
    <w:rsid w:val="00DD5F3D"/>
    <w:rsid w:val="00DD5FDA"/>
    <w:rsid w:val="00DD70FA"/>
    <w:rsid w:val="00DE238D"/>
    <w:rsid w:val="00DE32AC"/>
    <w:rsid w:val="00DE4C07"/>
    <w:rsid w:val="00DE5CB1"/>
    <w:rsid w:val="00DE660E"/>
    <w:rsid w:val="00DE70D9"/>
    <w:rsid w:val="00DE74BE"/>
    <w:rsid w:val="00DE7BD9"/>
    <w:rsid w:val="00DE7D7A"/>
    <w:rsid w:val="00DF1704"/>
    <w:rsid w:val="00DF6898"/>
    <w:rsid w:val="00E0113C"/>
    <w:rsid w:val="00E01FFC"/>
    <w:rsid w:val="00E02790"/>
    <w:rsid w:val="00E03B37"/>
    <w:rsid w:val="00E0615F"/>
    <w:rsid w:val="00E06DA2"/>
    <w:rsid w:val="00E12886"/>
    <w:rsid w:val="00E15D8A"/>
    <w:rsid w:val="00E16B01"/>
    <w:rsid w:val="00E20240"/>
    <w:rsid w:val="00E2091D"/>
    <w:rsid w:val="00E20EEB"/>
    <w:rsid w:val="00E218B5"/>
    <w:rsid w:val="00E218F3"/>
    <w:rsid w:val="00E22368"/>
    <w:rsid w:val="00E2293F"/>
    <w:rsid w:val="00E24D90"/>
    <w:rsid w:val="00E26E45"/>
    <w:rsid w:val="00E2772D"/>
    <w:rsid w:val="00E27F33"/>
    <w:rsid w:val="00E30740"/>
    <w:rsid w:val="00E30BED"/>
    <w:rsid w:val="00E31066"/>
    <w:rsid w:val="00E31F20"/>
    <w:rsid w:val="00E36669"/>
    <w:rsid w:val="00E3681A"/>
    <w:rsid w:val="00E40249"/>
    <w:rsid w:val="00E4187C"/>
    <w:rsid w:val="00E42705"/>
    <w:rsid w:val="00E43023"/>
    <w:rsid w:val="00E44EA0"/>
    <w:rsid w:val="00E50CC5"/>
    <w:rsid w:val="00E52191"/>
    <w:rsid w:val="00E52E77"/>
    <w:rsid w:val="00E53081"/>
    <w:rsid w:val="00E6009C"/>
    <w:rsid w:val="00E6078C"/>
    <w:rsid w:val="00E61C4A"/>
    <w:rsid w:val="00E61E66"/>
    <w:rsid w:val="00E61F63"/>
    <w:rsid w:val="00E62066"/>
    <w:rsid w:val="00E6207C"/>
    <w:rsid w:val="00E62835"/>
    <w:rsid w:val="00E6423A"/>
    <w:rsid w:val="00E647D7"/>
    <w:rsid w:val="00E649AD"/>
    <w:rsid w:val="00E654EE"/>
    <w:rsid w:val="00E65800"/>
    <w:rsid w:val="00E70466"/>
    <w:rsid w:val="00E72159"/>
    <w:rsid w:val="00E73C13"/>
    <w:rsid w:val="00E746F1"/>
    <w:rsid w:val="00E74C64"/>
    <w:rsid w:val="00E759A4"/>
    <w:rsid w:val="00E75B51"/>
    <w:rsid w:val="00E75FE5"/>
    <w:rsid w:val="00E776A1"/>
    <w:rsid w:val="00E77EFC"/>
    <w:rsid w:val="00E80F85"/>
    <w:rsid w:val="00E81BC7"/>
    <w:rsid w:val="00E83548"/>
    <w:rsid w:val="00E84101"/>
    <w:rsid w:val="00E8437A"/>
    <w:rsid w:val="00E85C48"/>
    <w:rsid w:val="00E8703B"/>
    <w:rsid w:val="00E90BEA"/>
    <w:rsid w:val="00E92609"/>
    <w:rsid w:val="00E9486D"/>
    <w:rsid w:val="00E94C12"/>
    <w:rsid w:val="00E94D51"/>
    <w:rsid w:val="00E971DD"/>
    <w:rsid w:val="00EA1F01"/>
    <w:rsid w:val="00EA2EA9"/>
    <w:rsid w:val="00EA62BA"/>
    <w:rsid w:val="00EB00A5"/>
    <w:rsid w:val="00EB0F0D"/>
    <w:rsid w:val="00EB128A"/>
    <w:rsid w:val="00EB1BA1"/>
    <w:rsid w:val="00EB51EA"/>
    <w:rsid w:val="00EB7331"/>
    <w:rsid w:val="00EC0896"/>
    <w:rsid w:val="00EC3DAA"/>
    <w:rsid w:val="00EC4F28"/>
    <w:rsid w:val="00EC5331"/>
    <w:rsid w:val="00EC5AD2"/>
    <w:rsid w:val="00EC6B00"/>
    <w:rsid w:val="00ED0ABE"/>
    <w:rsid w:val="00ED106A"/>
    <w:rsid w:val="00ED1E00"/>
    <w:rsid w:val="00ED262D"/>
    <w:rsid w:val="00ED3367"/>
    <w:rsid w:val="00ED4294"/>
    <w:rsid w:val="00ED48AD"/>
    <w:rsid w:val="00ED677D"/>
    <w:rsid w:val="00ED7A26"/>
    <w:rsid w:val="00EE0647"/>
    <w:rsid w:val="00EE2442"/>
    <w:rsid w:val="00EE258A"/>
    <w:rsid w:val="00EE2E2A"/>
    <w:rsid w:val="00EE447D"/>
    <w:rsid w:val="00EE4E35"/>
    <w:rsid w:val="00EE5D65"/>
    <w:rsid w:val="00EE62A5"/>
    <w:rsid w:val="00EE67C4"/>
    <w:rsid w:val="00EE6D44"/>
    <w:rsid w:val="00EF1C98"/>
    <w:rsid w:val="00EF38A5"/>
    <w:rsid w:val="00EF69E9"/>
    <w:rsid w:val="00F005A9"/>
    <w:rsid w:val="00F022DE"/>
    <w:rsid w:val="00F03205"/>
    <w:rsid w:val="00F04927"/>
    <w:rsid w:val="00F05657"/>
    <w:rsid w:val="00F05BE2"/>
    <w:rsid w:val="00F05BF7"/>
    <w:rsid w:val="00F05C41"/>
    <w:rsid w:val="00F0600D"/>
    <w:rsid w:val="00F07C64"/>
    <w:rsid w:val="00F07C79"/>
    <w:rsid w:val="00F102FF"/>
    <w:rsid w:val="00F110AC"/>
    <w:rsid w:val="00F111B2"/>
    <w:rsid w:val="00F13028"/>
    <w:rsid w:val="00F130D2"/>
    <w:rsid w:val="00F14004"/>
    <w:rsid w:val="00F14794"/>
    <w:rsid w:val="00F153D0"/>
    <w:rsid w:val="00F15853"/>
    <w:rsid w:val="00F16845"/>
    <w:rsid w:val="00F16C30"/>
    <w:rsid w:val="00F17F39"/>
    <w:rsid w:val="00F21BFE"/>
    <w:rsid w:val="00F21E75"/>
    <w:rsid w:val="00F23EE4"/>
    <w:rsid w:val="00F257C3"/>
    <w:rsid w:val="00F26019"/>
    <w:rsid w:val="00F27C80"/>
    <w:rsid w:val="00F326DE"/>
    <w:rsid w:val="00F34AAE"/>
    <w:rsid w:val="00F351F3"/>
    <w:rsid w:val="00F36026"/>
    <w:rsid w:val="00F3674A"/>
    <w:rsid w:val="00F37B92"/>
    <w:rsid w:val="00F40C76"/>
    <w:rsid w:val="00F419E4"/>
    <w:rsid w:val="00F42D85"/>
    <w:rsid w:val="00F4352E"/>
    <w:rsid w:val="00F43E2D"/>
    <w:rsid w:val="00F45DB6"/>
    <w:rsid w:val="00F4671F"/>
    <w:rsid w:val="00F474C3"/>
    <w:rsid w:val="00F5027D"/>
    <w:rsid w:val="00F50699"/>
    <w:rsid w:val="00F515BF"/>
    <w:rsid w:val="00F53395"/>
    <w:rsid w:val="00F53F41"/>
    <w:rsid w:val="00F55861"/>
    <w:rsid w:val="00F608BF"/>
    <w:rsid w:val="00F63510"/>
    <w:rsid w:val="00F635D1"/>
    <w:rsid w:val="00F64B96"/>
    <w:rsid w:val="00F67E5D"/>
    <w:rsid w:val="00F758AB"/>
    <w:rsid w:val="00F765CC"/>
    <w:rsid w:val="00F7669E"/>
    <w:rsid w:val="00F81FB6"/>
    <w:rsid w:val="00F82569"/>
    <w:rsid w:val="00F85264"/>
    <w:rsid w:val="00F85A08"/>
    <w:rsid w:val="00F85DDF"/>
    <w:rsid w:val="00F85FB9"/>
    <w:rsid w:val="00F867E1"/>
    <w:rsid w:val="00F872F7"/>
    <w:rsid w:val="00F87370"/>
    <w:rsid w:val="00F90269"/>
    <w:rsid w:val="00F905B0"/>
    <w:rsid w:val="00F90613"/>
    <w:rsid w:val="00F9196E"/>
    <w:rsid w:val="00F92A26"/>
    <w:rsid w:val="00F94BE8"/>
    <w:rsid w:val="00F95957"/>
    <w:rsid w:val="00F96773"/>
    <w:rsid w:val="00F97470"/>
    <w:rsid w:val="00F97699"/>
    <w:rsid w:val="00FA21AF"/>
    <w:rsid w:val="00FA51CE"/>
    <w:rsid w:val="00FA63B0"/>
    <w:rsid w:val="00FA68A6"/>
    <w:rsid w:val="00FA70F9"/>
    <w:rsid w:val="00FB5397"/>
    <w:rsid w:val="00FB7456"/>
    <w:rsid w:val="00FB75FF"/>
    <w:rsid w:val="00FB7802"/>
    <w:rsid w:val="00FC0005"/>
    <w:rsid w:val="00FC1457"/>
    <w:rsid w:val="00FC1560"/>
    <w:rsid w:val="00FC186A"/>
    <w:rsid w:val="00FC1E60"/>
    <w:rsid w:val="00FC3DAD"/>
    <w:rsid w:val="00FC6F2F"/>
    <w:rsid w:val="00FC71F0"/>
    <w:rsid w:val="00FD00E2"/>
    <w:rsid w:val="00FD1503"/>
    <w:rsid w:val="00FD4832"/>
    <w:rsid w:val="00FD4A43"/>
    <w:rsid w:val="00FD58C9"/>
    <w:rsid w:val="00FE0F86"/>
    <w:rsid w:val="00FE3080"/>
    <w:rsid w:val="00FE3EC4"/>
    <w:rsid w:val="00FE62CF"/>
    <w:rsid w:val="00FE7444"/>
    <w:rsid w:val="00FF106B"/>
    <w:rsid w:val="00FF18E8"/>
    <w:rsid w:val="00FF1DDC"/>
    <w:rsid w:val="00FF2C59"/>
    <w:rsid w:val="00FF4367"/>
    <w:rsid w:val="00FF45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1FBD"/>
  <w15:docId w15:val="{475DAEAB-2589-4AA1-A995-ED75F783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7E"/>
    <w:rPr>
      <w:lang w:val="en-AU" w:eastAsia="en-US"/>
    </w:rPr>
  </w:style>
  <w:style w:type="paragraph" w:styleId="Heading1">
    <w:name w:val="heading 1"/>
    <w:basedOn w:val="Normal"/>
    <w:next w:val="Normal"/>
    <w:qFormat/>
    <w:pPr>
      <w:keepNext/>
      <w:keepLines/>
      <w:numPr>
        <w:numId w:val="17"/>
      </w:numPr>
      <w:tabs>
        <w:tab w:val="left" w:pos="850"/>
        <w:tab w:val="center" w:pos="4535"/>
      </w:tabs>
      <w:spacing w:before="300" w:after="60" w:line="312" w:lineRule="auto"/>
      <w:outlineLvl w:val="0"/>
    </w:pPr>
    <w:rPr>
      <w:b/>
      <w:kern w:val="32"/>
      <w:sz w:val="28"/>
      <w:lang w:val="de-CH"/>
    </w:rPr>
  </w:style>
  <w:style w:type="paragraph" w:styleId="Heading2">
    <w:name w:val="heading 2"/>
    <w:basedOn w:val="Heading1"/>
    <w:next w:val="NormalIndent"/>
    <w:qFormat/>
    <w:pPr>
      <w:numPr>
        <w:ilvl w:val="1"/>
      </w:numPr>
      <w:tabs>
        <w:tab w:val="clear" w:pos="850"/>
        <w:tab w:val="clear" w:pos="4535"/>
      </w:tabs>
      <w:outlineLvl w:val="1"/>
    </w:pPr>
    <w:rPr>
      <w:sz w:val="24"/>
    </w:rPr>
  </w:style>
  <w:style w:type="paragraph" w:styleId="Heading3">
    <w:name w:val="heading 3"/>
    <w:basedOn w:val="Heading1"/>
    <w:next w:val="NormalIndent"/>
    <w:qFormat/>
    <w:pPr>
      <w:numPr>
        <w:ilvl w:val="2"/>
      </w:numPr>
      <w:tabs>
        <w:tab w:val="clear" w:pos="850"/>
        <w:tab w:val="clear" w:pos="4535"/>
      </w:tabs>
      <w:outlineLvl w:val="2"/>
    </w:pPr>
    <w:rPr>
      <w:sz w:val="24"/>
    </w:rPr>
  </w:style>
  <w:style w:type="paragraph" w:styleId="Heading4">
    <w:name w:val="heading 4"/>
    <w:basedOn w:val="Heading1"/>
    <w:next w:val="NormalIndent"/>
    <w:link w:val="Heading4Char"/>
    <w:qFormat/>
    <w:pPr>
      <w:numPr>
        <w:numId w:val="0"/>
      </w:numPr>
      <w:tabs>
        <w:tab w:val="clear" w:pos="850"/>
        <w:tab w:val="clear" w:pos="4535"/>
      </w:tabs>
      <w:outlineLvl w:val="3"/>
    </w:pPr>
    <w:rPr>
      <w:sz w:val="24"/>
    </w:rPr>
  </w:style>
  <w:style w:type="paragraph" w:styleId="Heading5">
    <w:name w:val="heading 5"/>
    <w:basedOn w:val="Heading1"/>
    <w:next w:val="NormalIndent"/>
    <w:qFormat/>
    <w:pPr>
      <w:numPr>
        <w:ilvl w:val="4"/>
      </w:numPr>
      <w:tabs>
        <w:tab w:val="clear" w:pos="850"/>
        <w:tab w:val="clear" w:pos="4535"/>
      </w:tabs>
      <w:outlineLvl w:val="4"/>
    </w:pPr>
    <w:rPr>
      <w:sz w:val="24"/>
    </w:rPr>
  </w:style>
  <w:style w:type="paragraph" w:styleId="Heading6">
    <w:name w:val="heading 6"/>
    <w:basedOn w:val="Heading1"/>
    <w:next w:val="NormalIndent"/>
    <w:qFormat/>
    <w:pPr>
      <w:numPr>
        <w:ilvl w:val="5"/>
      </w:numPr>
      <w:tabs>
        <w:tab w:val="clear" w:pos="850"/>
        <w:tab w:val="clear" w:pos="4535"/>
      </w:tabs>
      <w:outlineLvl w:val="5"/>
    </w:pPr>
    <w:rPr>
      <w:sz w:val="24"/>
    </w:rPr>
  </w:style>
  <w:style w:type="paragraph" w:styleId="Heading7">
    <w:name w:val="heading 7"/>
    <w:basedOn w:val="Heading1"/>
    <w:next w:val="NormalIndent"/>
    <w:qFormat/>
    <w:pPr>
      <w:numPr>
        <w:ilvl w:val="6"/>
      </w:numPr>
      <w:tabs>
        <w:tab w:val="clear" w:pos="850"/>
        <w:tab w:val="clear" w:pos="4535"/>
      </w:tabs>
      <w:outlineLvl w:val="6"/>
    </w:pPr>
    <w:rPr>
      <w:sz w:val="24"/>
    </w:rPr>
  </w:style>
  <w:style w:type="paragraph" w:styleId="Heading8">
    <w:name w:val="heading 8"/>
    <w:basedOn w:val="Heading1"/>
    <w:next w:val="NormalIndent"/>
    <w:qFormat/>
    <w:pPr>
      <w:numPr>
        <w:ilvl w:val="7"/>
      </w:numPr>
      <w:tabs>
        <w:tab w:val="clear" w:pos="850"/>
        <w:tab w:val="clear" w:pos="4535"/>
      </w:tabs>
      <w:outlineLvl w:val="7"/>
    </w:pPr>
    <w:rPr>
      <w:sz w:val="24"/>
    </w:rPr>
  </w:style>
  <w:style w:type="paragraph" w:styleId="Heading9">
    <w:name w:val="heading 9"/>
    <w:basedOn w:val="Heading1"/>
    <w:next w:val="NormalIndent"/>
    <w:qFormat/>
    <w:pPr>
      <w:numPr>
        <w:ilvl w:val="8"/>
      </w:numPr>
      <w:tabs>
        <w:tab w:val="clear" w:pos="850"/>
        <w:tab w:val="clear" w:pos="4535"/>
      </w:tabs>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customStyle="1" w:styleId="TextTopNum0">
    <w:name w:val="Text Top Num 0"/>
    <w:basedOn w:val="Normal"/>
    <w:next w:val="NormalIndent"/>
    <w:pPr>
      <w:numPr>
        <w:numId w:val="2"/>
      </w:numPr>
      <w:spacing w:before="120" w:after="60" w:line="312" w:lineRule="auto"/>
      <w:jc w:val="both"/>
    </w:pPr>
    <w:rPr>
      <w:sz w:val="24"/>
      <w:lang w:val="de-CH"/>
    </w:rPr>
  </w:style>
  <w:style w:type="paragraph" w:customStyle="1" w:styleId="TextTopNum1">
    <w:name w:val="Text Top Num 1"/>
    <w:basedOn w:val="Normal"/>
    <w:pPr>
      <w:numPr>
        <w:ilvl w:val="1"/>
        <w:numId w:val="2"/>
      </w:numPr>
      <w:spacing w:before="120" w:after="60" w:line="312" w:lineRule="auto"/>
      <w:jc w:val="both"/>
    </w:pPr>
    <w:rPr>
      <w:sz w:val="24"/>
      <w:lang w:val="de-CH"/>
    </w:rPr>
  </w:style>
  <w:style w:type="paragraph" w:customStyle="1" w:styleId="TextTopNum2">
    <w:name w:val="Text Top Num 2"/>
    <w:basedOn w:val="Normal"/>
    <w:pPr>
      <w:numPr>
        <w:ilvl w:val="2"/>
        <w:numId w:val="2"/>
      </w:numPr>
      <w:spacing w:before="120" w:after="60" w:line="312" w:lineRule="auto"/>
      <w:jc w:val="both"/>
    </w:pPr>
    <w:rPr>
      <w:sz w:val="24"/>
      <w:lang w:val="de-CH"/>
    </w:rPr>
  </w:style>
  <w:style w:type="paragraph" w:customStyle="1" w:styleId="TextTopNum3">
    <w:name w:val="Text Top Num 3"/>
    <w:basedOn w:val="Normal"/>
    <w:pPr>
      <w:numPr>
        <w:ilvl w:val="3"/>
        <w:numId w:val="2"/>
      </w:numPr>
      <w:spacing w:before="120" w:after="60" w:line="312" w:lineRule="auto"/>
      <w:jc w:val="both"/>
    </w:pPr>
    <w:rPr>
      <w:sz w:val="24"/>
      <w:lang w:val="de-CH"/>
    </w:rPr>
  </w:style>
  <w:style w:type="paragraph" w:styleId="List">
    <w:name w:val="List"/>
    <w:basedOn w:val="Normal"/>
    <w:semiHidden/>
    <w:pPr>
      <w:numPr>
        <w:ilvl w:val="4"/>
        <w:numId w:val="2"/>
      </w:numPr>
      <w:spacing w:before="120" w:after="60" w:line="312" w:lineRule="auto"/>
      <w:jc w:val="both"/>
    </w:pPr>
    <w:rPr>
      <w:sz w:val="24"/>
      <w:lang w:val="de-CH"/>
    </w:rPr>
  </w:style>
  <w:style w:type="paragraph" w:styleId="List2">
    <w:name w:val="List 2"/>
    <w:basedOn w:val="Normal"/>
    <w:semiHidden/>
    <w:pPr>
      <w:numPr>
        <w:ilvl w:val="5"/>
        <w:numId w:val="2"/>
      </w:numPr>
      <w:spacing w:before="120" w:after="60" w:line="312" w:lineRule="auto"/>
      <w:jc w:val="both"/>
    </w:pPr>
    <w:rPr>
      <w:sz w:val="24"/>
      <w:lang w:val="de-CH"/>
    </w:rPr>
  </w:style>
  <w:style w:type="paragraph" w:customStyle="1" w:styleId="Evidence">
    <w:name w:val="Evidence"/>
    <w:basedOn w:val="Normal"/>
    <w:pPr>
      <w:spacing w:before="120" w:after="60" w:line="312" w:lineRule="auto"/>
      <w:jc w:val="both"/>
    </w:pPr>
    <w:rPr>
      <w:sz w:val="24"/>
      <w:lang w:val="de-CH"/>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link w:val="BodyTextChar"/>
    <w:semiHidden/>
    <w:pPr>
      <w:jc w:val="both"/>
    </w:pPr>
    <w:rPr>
      <w:sz w:val="21"/>
    </w:rPr>
  </w:style>
  <w:style w:type="paragraph" w:styleId="BodyText2">
    <w:name w:val="Body Text 2"/>
    <w:basedOn w:val="Normal"/>
    <w:link w:val="BodyText2Char"/>
    <w:semiHidden/>
    <w:pPr>
      <w:jc w:val="both"/>
    </w:pPr>
    <w:rPr>
      <w:rFonts w:ascii="Verdana" w:hAnsi="Verdana"/>
      <w:lang w:val="de-CH"/>
    </w:rPr>
  </w:style>
  <w:style w:type="paragraph" w:styleId="BodyText3">
    <w:name w:val="Body Text 3"/>
    <w:basedOn w:val="Normal"/>
    <w:semiHidden/>
    <w:rPr>
      <w:rFonts w:ascii="Verdana" w:hAnsi="Verdana"/>
      <w:sz w:val="21"/>
    </w:rPr>
  </w:style>
  <w:style w:type="paragraph" w:styleId="BodyTextIndent">
    <w:name w:val="Body Text Indent"/>
    <w:basedOn w:val="Normal"/>
    <w:semiHidden/>
    <w:pPr>
      <w:spacing w:before="120" w:after="60"/>
      <w:ind w:left="318" w:hanging="318"/>
    </w:pPr>
    <w:rPr>
      <w:rFonts w:ascii="Verdana" w:hAnsi="Verdana"/>
      <w:lang w:val="en-GB"/>
    </w:rPr>
  </w:style>
  <w:style w:type="paragraph" w:styleId="BodyTextIndent2">
    <w:name w:val="Body Text Indent 2"/>
    <w:basedOn w:val="Normal"/>
    <w:semiHidden/>
    <w:pPr>
      <w:spacing w:before="120" w:after="60"/>
      <w:ind w:left="284" w:hanging="284"/>
    </w:pPr>
    <w:rPr>
      <w:rFonts w:ascii="Verdana" w:hAnsi="Verdana"/>
      <w:lang w:val="de-CH"/>
    </w:rPr>
  </w:style>
  <w:style w:type="paragraph" w:styleId="BodyTextIndent3">
    <w:name w:val="Body Text Indent 3"/>
    <w:basedOn w:val="Normal"/>
    <w:semiHidden/>
    <w:pPr>
      <w:tabs>
        <w:tab w:val="left" w:pos="709"/>
        <w:tab w:val="left" w:pos="906"/>
        <w:tab w:val="left" w:pos="1361"/>
        <w:tab w:val="left" w:pos="1813"/>
        <w:tab w:val="left" w:pos="2268"/>
        <w:tab w:val="left" w:pos="2721"/>
        <w:tab w:val="left" w:pos="3174"/>
        <w:tab w:val="left" w:pos="3629"/>
        <w:tab w:val="left" w:pos="4081"/>
        <w:tab w:val="left" w:pos="4536"/>
        <w:tab w:val="left" w:pos="4989"/>
        <w:tab w:val="left" w:pos="5442"/>
        <w:tab w:val="left" w:pos="5897"/>
        <w:tab w:val="left" w:pos="6349"/>
        <w:tab w:val="left" w:pos="6804"/>
        <w:tab w:val="left" w:pos="7257"/>
        <w:tab w:val="left" w:pos="7710"/>
        <w:tab w:val="left" w:pos="8165"/>
        <w:tab w:val="left" w:pos="8617"/>
        <w:tab w:val="left" w:pos="9072"/>
      </w:tabs>
      <w:suppressAutoHyphens/>
      <w:spacing w:after="240" w:line="312" w:lineRule="auto"/>
      <w:ind w:left="709" w:hanging="425"/>
    </w:pPr>
    <w:rPr>
      <w:rFonts w:ascii="Verdana" w:hAnsi="Verdana"/>
      <w:spacing w:val="-3"/>
    </w:rPr>
  </w:style>
  <w:style w:type="paragraph" w:customStyle="1" w:styleId="Default">
    <w:name w:val="Default"/>
    <w:pPr>
      <w:autoSpaceDE w:val="0"/>
      <w:autoSpaceDN w:val="0"/>
      <w:adjustRightInd w:val="0"/>
    </w:pPr>
    <w:rPr>
      <w:rFonts w:ascii="Frutiger" w:hAnsi="Frutiger"/>
      <w:color w:val="000000"/>
      <w:sz w:val="24"/>
      <w:szCs w:val="24"/>
      <w:lang w:val="en-US"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Sprechblasentext1">
    <w:name w:val="Sprechblasentext1"/>
    <w:basedOn w:val="Normal"/>
    <w:rPr>
      <w:rFonts w:ascii="Tahoma" w:hAnsi="Tahoma" w:cs="Tahoma"/>
      <w:sz w:val="16"/>
      <w:szCs w:val="16"/>
    </w:rPr>
  </w:style>
  <w:style w:type="character" w:customStyle="1" w:styleId="BalloonTextChar">
    <w:name w:val="Balloon Text Char"/>
    <w:rPr>
      <w:rFonts w:ascii="Tahoma" w:hAnsi="Tahoma" w:cs="Tahoma"/>
      <w:sz w:val="16"/>
      <w:szCs w:val="16"/>
      <w:lang w:val="en-AU" w:eastAsia="en-US"/>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en-AU" w:eastAsia="en-US"/>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lang w:val="en-AU" w:eastAsia="en-US"/>
    </w:rPr>
  </w:style>
  <w:style w:type="paragraph" w:styleId="CommentSubject">
    <w:name w:val="annotation subject"/>
    <w:basedOn w:val="CommentText"/>
    <w:next w:val="CommentText"/>
    <w:link w:val="CommentSubjectChar"/>
    <w:uiPriority w:val="99"/>
    <w:semiHidden/>
    <w:unhideWhenUsed/>
    <w:rsid w:val="00C367BB"/>
    <w:rPr>
      <w:b/>
      <w:bCs/>
    </w:rPr>
  </w:style>
  <w:style w:type="character" w:customStyle="1" w:styleId="CommentTextChar">
    <w:name w:val="Comment Text Char"/>
    <w:link w:val="CommentText"/>
    <w:semiHidden/>
    <w:rsid w:val="00C367BB"/>
    <w:rPr>
      <w:lang w:val="en-AU" w:eastAsia="en-US"/>
    </w:rPr>
  </w:style>
  <w:style w:type="character" w:customStyle="1" w:styleId="CommentSubjectChar">
    <w:name w:val="Comment Subject Char"/>
    <w:basedOn w:val="CommentTextChar"/>
    <w:link w:val="CommentSubject"/>
    <w:rsid w:val="00C367BB"/>
    <w:rPr>
      <w:lang w:val="en-AU" w:eastAsia="en-US"/>
    </w:rPr>
  </w:style>
  <w:style w:type="paragraph" w:styleId="ListParagraph">
    <w:name w:val="List Paragraph"/>
    <w:basedOn w:val="Normal"/>
    <w:uiPriority w:val="34"/>
    <w:qFormat/>
    <w:rsid w:val="00122362"/>
    <w:pPr>
      <w:ind w:left="708"/>
    </w:pPr>
  </w:style>
  <w:style w:type="character" w:customStyle="1" w:styleId="CharacterStyle3">
    <w:name w:val="Character Style 3"/>
    <w:rsid w:val="00C60656"/>
    <w:rPr>
      <w:rFonts w:ascii="Times New Roman" w:hAnsi="Times New Roman" w:cs="Times New Roman"/>
      <w:sz w:val="20"/>
      <w:szCs w:val="20"/>
    </w:rPr>
  </w:style>
  <w:style w:type="character" w:customStyle="1" w:styleId="CharacterStyle7">
    <w:name w:val="Character Style 7"/>
    <w:rsid w:val="00C60656"/>
    <w:rPr>
      <w:rFonts w:ascii="Arial" w:hAnsi="Arial" w:cs="Arial"/>
      <w:sz w:val="21"/>
      <w:szCs w:val="21"/>
    </w:rPr>
  </w:style>
  <w:style w:type="paragraph" w:styleId="FootnoteText">
    <w:name w:val="footnote text"/>
    <w:basedOn w:val="Normal"/>
    <w:link w:val="FootnoteTextChar"/>
    <w:uiPriority w:val="99"/>
    <w:semiHidden/>
    <w:unhideWhenUsed/>
    <w:rsid w:val="00F0600D"/>
  </w:style>
  <w:style w:type="character" w:customStyle="1" w:styleId="FootnoteTextChar">
    <w:name w:val="Footnote Text Char"/>
    <w:link w:val="FootnoteText"/>
    <w:uiPriority w:val="99"/>
    <w:semiHidden/>
    <w:rsid w:val="00F0600D"/>
    <w:rPr>
      <w:lang w:val="en-AU" w:eastAsia="en-US"/>
    </w:rPr>
  </w:style>
  <w:style w:type="character" w:styleId="FootnoteReference">
    <w:name w:val="footnote reference"/>
    <w:uiPriority w:val="99"/>
    <w:semiHidden/>
    <w:unhideWhenUsed/>
    <w:rsid w:val="00F0600D"/>
    <w:rPr>
      <w:vertAlign w:val="superscript"/>
    </w:rPr>
  </w:style>
  <w:style w:type="paragraph" w:styleId="NormalWeb">
    <w:name w:val="Normal (Web)"/>
    <w:basedOn w:val="Normal"/>
    <w:uiPriority w:val="99"/>
    <w:unhideWhenUsed/>
    <w:rsid w:val="007110D6"/>
    <w:pPr>
      <w:spacing w:before="100" w:beforeAutospacing="1" w:after="100" w:afterAutospacing="1"/>
    </w:pPr>
    <w:rPr>
      <w:rFonts w:eastAsia="Calibri"/>
      <w:sz w:val="24"/>
      <w:szCs w:val="24"/>
      <w:lang w:val="de-CH" w:eastAsia="de-CH"/>
    </w:rPr>
  </w:style>
  <w:style w:type="paragraph" w:customStyle="1" w:styleId="TableParagraph">
    <w:name w:val="Table Paragraph"/>
    <w:basedOn w:val="Normal"/>
    <w:uiPriority w:val="1"/>
    <w:qFormat/>
    <w:rsid w:val="0003054C"/>
    <w:pPr>
      <w:widowControl w:val="0"/>
    </w:pPr>
    <w:rPr>
      <w:rFonts w:ascii="Calibri" w:eastAsia="Calibri" w:hAnsi="Calibri"/>
      <w:sz w:val="22"/>
      <w:szCs w:val="22"/>
      <w:lang w:val="en-US"/>
    </w:rPr>
  </w:style>
  <w:style w:type="paragraph" w:styleId="Revision">
    <w:name w:val="Revision"/>
    <w:hidden/>
    <w:uiPriority w:val="99"/>
    <w:semiHidden/>
    <w:rsid w:val="00A33415"/>
    <w:rPr>
      <w:lang w:val="en-AU" w:eastAsia="en-US"/>
    </w:rPr>
  </w:style>
  <w:style w:type="character" w:customStyle="1" w:styleId="BodyText2Char">
    <w:name w:val="Body Text 2 Char"/>
    <w:basedOn w:val="DefaultParagraphFont"/>
    <w:link w:val="BodyText2"/>
    <w:semiHidden/>
    <w:rsid w:val="00EE67C4"/>
    <w:rPr>
      <w:rFonts w:ascii="Verdana" w:hAnsi="Verdana"/>
      <w:lang w:eastAsia="en-US"/>
    </w:rPr>
  </w:style>
  <w:style w:type="character" w:customStyle="1" w:styleId="HeaderChar">
    <w:name w:val="Header Char"/>
    <w:basedOn w:val="DefaultParagraphFont"/>
    <w:link w:val="Header"/>
    <w:uiPriority w:val="99"/>
    <w:rsid w:val="00B5641C"/>
    <w:rPr>
      <w:lang w:val="en-AU" w:eastAsia="en-US"/>
    </w:rPr>
  </w:style>
  <w:style w:type="character" w:customStyle="1" w:styleId="BodyTextChar">
    <w:name w:val="Body Text Char"/>
    <w:basedOn w:val="DefaultParagraphFont"/>
    <w:link w:val="BodyText"/>
    <w:semiHidden/>
    <w:rsid w:val="00B5641C"/>
    <w:rPr>
      <w:sz w:val="21"/>
      <w:lang w:val="en-AU" w:eastAsia="en-US"/>
    </w:rPr>
  </w:style>
  <w:style w:type="character" w:customStyle="1" w:styleId="Heading4Char">
    <w:name w:val="Heading 4 Char"/>
    <w:basedOn w:val="DefaultParagraphFont"/>
    <w:link w:val="Heading4"/>
    <w:rsid w:val="00FE62CF"/>
    <w:rPr>
      <w:b/>
      <w:kern w:val="32"/>
      <w:sz w:val="24"/>
      <w:lang w:eastAsia="en-US"/>
    </w:rPr>
  </w:style>
  <w:style w:type="paragraph" w:styleId="ListBullet">
    <w:name w:val="List Bullet"/>
    <w:basedOn w:val="Normal"/>
    <w:uiPriority w:val="99"/>
    <w:semiHidden/>
    <w:unhideWhenUsed/>
    <w:rsid w:val="00EE2442"/>
    <w:pPr>
      <w:numPr>
        <w:numId w:val="7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3129">
      <w:bodyDiv w:val="1"/>
      <w:marLeft w:val="0"/>
      <w:marRight w:val="0"/>
      <w:marTop w:val="0"/>
      <w:marBottom w:val="0"/>
      <w:divBdr>
        <w:top w:val="none" w:sz="0" w:space="0" w:color="auto"/>
        <w:left w:val="none" w:sz="0" w:space="0" w:color="auto"/>
        <w:bottom w:val="none" w:sz="0" w:space="0" w:color="auto"/>
        <w:right w:val="none" w:sz="0" w:space="0" w:color="auto"/>
      </w:divBdr>
    </w:div>
    <w:div w:id="154496533">
      <w:bodyDiv w:val="1"/>
      <w:marLeft w:val="0"/>
      <w:marRight w:val="0"/>
      <w:marTop w:val="0"/>
      <w:marBottom w:val="0"/>
      <w:divBdr>
        <w:top w:val="none" w:sz="0" w:space="0" w:color="auto"/>
        <w:left w:val="none" w:sz="0" w:space="0" w:color="auto"/>
        <w:bottom w:val="none" w:sz="0" w:space="0" w:color="auto"/>
        <w:right w:val="none" w:sz="0" w:space="0" w:color="auto"/>
      </w:divBdr>
    </w:div>
    <w:div w:id="218901948">
      <w:bodyDiv w:val="1"/>
      <w:marLeft w:val="0"/>
      <w:marRight w:val="0"/>
      <w:marTop w:val="0"/>
      <w:marBottom w:val="0"/>
      <w:divBdr>
        <w:top w:val="none" w:sz="0" w:space="0" w:color="auto"/>
        <w:left w:val="none" w:sz="0" w:space="0" w:color="auto"/>
        <w:bottom w:val="none" w:sz="0" w:space="0" w:color="auto"/>
        <w:right w:val="none" w:sz="0" w:space="0" w:color="auto"/>
      </w:divBdr>
    </w:div>
    <w:div w:id="477503428">
      <w:bodyDiv w:val="1"/>
      <w:marLeft w:val="0"/>
      <w:marRight w:val="0"/>
      <w:marTop w:val="0"/>
      <w:marBottom w:val="0"/>
      <w:divBdr>
        <w:top w:val="none" w:sz="0" w:space="0" w:color="auto"/>
        <w:left w:val="none" w:sz="0" w:space="0" w:color="auto"/>
        <w:bottom w:val="none" w:sz="0" w:space="0" w:color="auto"/>
        <w:right w:val="none" w:sz="0" w:space="0" w:color="auto"/>
      </w:divBdr>
    </w:div>
    <w:div w:id="681005507">
      <w:bodyDiv w:val="1"/>
      <w:marLeft w:val="0"/>
      <w:marRight w:val="0"/>
      <w:marTop w:val="0"/>
      <w:marBottom w:val="0"/>
      <w:divBdr>
        <w:top w:val="none" w:sz="0" w:space="0" w:color="auto"/>
        <w:left w:val="none" w:sz="0" w:space="0" w:color="auto"/>
        <w:bottom w:val="none" w:sz="0" w:space="0" w:color="auto"/>
        <w:right w:val="none" w:sz="0" w:space="0" w:color="auto"/>
      </w:divBdr>
    </w:div>
    <w:div w:id="691031981">
      <w:bodyDiv w:val="1"/>
      <w:marLeft w:val="0"/>
      <w:marRight w:val="0"/>
      <w:marTop w:val="0"/>
      <w:marBottom w:val="0"/>
      <w:divBdr>
        <w:top w:val="none" w:sz="0" w:space="0" w:color="auto"/>
        <w:left w:val="none" w:sz="0" w:space="0" w:color="auto"/>
        <w:bottom w:val="none" w:sz="0" w:space="0" w:color="auto"/>
        <w:right w:val="none" w:sz="0" w:space="0" w:color="auto"/>
      </w:divBdr>
    </w:div>
    <w:div w:id="1015810323">
      <w:bodyDiv w:val="1"/>
      <w:marLeft w:val="0"/>
      <w:marRight w:val="0"/>
      <w:marTop w:val="0"/>
      <w:marBottom w:val="0"/>
      <w:divBdr>
        <w:top w:val="none" w:sz="0" w:space="0" w:color="auto"/>
        <w:left w:val="none" w:sz="0" w:space="0" w:color="auto"/>
        <w:bottom w:val="none" w:sz="0" w:space="0" w:color="auto"/>
        <w:right w:val="none" w:sz="0" w:space="0" w:color="auto"/>
      </w:divBdr>
      <w:divsChild>
        <w:div w:id="1360744261">
          <w:marLeft w:val="0"/>
          <w:marRight w:val="0"/>
          <w:marTop w:val="0"/>
          <w:marBottom w:val="0"/>
          <w:divBdr>
            <w:top w:val="none" w:sz="0" w:space="0" w:color="auto"/>
            <w:left w:val="none" w:sz="0" w:space="0" w:color="auto"/>
            <w:bottom w:val="none" w:sz="0" w:space="0" w:color="auto"/>
            <w:right w:val="none" w:sz="0" w:space="0" w:color="auto"/>
          </w:divBdr>
          <w:divsChild>
            <w:div w:id="2059623566">
              <w:marLeft w:val="0"/>
              <w:marRight w:val="0"/>
              <w:marTop w:val="0"/>
              <w:marBottom w:val="0"/>
              <w:divBdr>
                <w:top w:val="none" w:sz="0" w:space="0" w:color="auto"/>
                <w:left w:val="none" w:sz="0" w:space="0" w:color="auto"/>
                <w:bottom w:val="none" w:sz="0" w:space="0" w:color="auto"/>
                <w:right w:val="none" w:sz="0" w:space="0" w:color="auto"/>
              </w:divBdr>
              <w:divsChild>
                <w:div w:id="69274531">
                  <w:marLeft w:val="0"/>
                  <w:marRight w:val="0"/>
                  <w:marTop w:val="0"/>
                  <w:marBottom w:val="0"/>
                  <w:divBdr>
                    <w:top w:val="none" w:sz="0" w:space="0" w:color="auto"/>
                    <w:left w:val="none" w:sz="0" w:space="0" w:color="auto"/>
                    <w:bottom w:val="none" w:sz="0" w:space="0" w:color="auto"/>
                    <w:right w:val="none" w:sz="0" w:space="0" w:color="auto"/>
                  </w:divBdr>
                  <w:divsChild>
                    <w:div w:id="312759909">
                      <w:marLeft w:val="0"/>
                      <w:marRight w:val="0"/>
                      <w:marTop w:val="0"/>
                      <w:marBottom w:val="0"/>
                      <w:divBdr>
                        <w:top w:val="none" w:sz="0" w:space="0" w:color="auto"/>
                        <w:left w:val="none" w:sz="0" w:space="0" w:color="auto"/>
                        <w:bottom w:val="none" w:sz="0" w:space="0" w:color="auto"/>
                        <w:right w:val="none" w:sz="0" w:space="0" w:color="auto"/>
                      </w:divBdr>
                      <w:divsChild>
                        <w:div w:id="5689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785830">
      <w:bodyDiv w:val="1"/>
      <w:marLeft w:val="0"/>
      <w:marRight w:val="0"/>
      <w:marTop w:val="0"/>
      <w:marBottom w:val="0"/>
      <w:divBdr>
        <w:top w:val="none" w:sz="0" w:space="0" w:color="auto"/>
        <w:left w:val="none" w:sz="0" w:space="0" w:color="auto"/>
        <w:bottom w:val="none" w:sz="0" w:space="0" w:color="auto"/>
        <w:right w:val="none" w:sz="0" w:space="0" w:color="auto"/>
      </w:divBdr>
      <w:divsChild>
        <w:div w:id="768476072">
          <w:marLeft w:val="274"/>
          <w:marRight w:val="0"/>
          <w:marTop w:val="80"/>
          <w:marBottom w:val="120"/>
          <w:divBdr>
            <w:top w:val="none" w:sz="0" w:space="0" w:color="auto"/>
            <w:left w:val="none" w:sz="0" w:space="0" w:color="auto"/>
            <w:bottom w:val="none" w:sz="0" w:space="0" w:color="auto"/>
            <w:right w:val="none" w:sz="0" w:space="0" w:color="auto"/>
          </w:divBdr>
        </w:div>
      </w:divsChild>
    </w:div>
    <w:div w:id="1443257625">
      <w:bodyDiv w:val="1"/>
      <w:marLeft w:val="0"/>
      <w:marRight w:val="0"/>
      <w:marTop w:val="0"/>
      <w:marBottom w:val="0"/>
      <w:divBdr>
        <w:top w:val="none" w:sz="0" w:space="0" w:color="auto"/>
        <w:left w:val="none" w:sz="0" w:space="0" w:color="auto"/>
        <w:bottom w:val="none" w:sz="0" w:space="0" w:color="auto"/>
        <w:right w:val="none" w:sz="0" w:space="0" w:color="auto"/>
      </w:divBdr>
    </w:div>
    <w:div w:id="1579361976">
      <w:bodyDiv w:val="1"/>
      <w:marLeft w:val="0"/>
      <w:marRight w:val="0"/>
      <w:marTop w:val="0"/>
      <w:marBottom w:val="0"/>
      <w:divBdr>
        <w:top w:val="none" w:sz="0" w:space="0" w:color="auto"/>
        <w:left w:val="none" w:sz="0" w:space="0" w:color="auto"/>
        <w:bottom w:val="none" w:sz="0" w:space="0" w:color="auto"/>
        <w:right w:val="none" w:sz="0" w:space="0" w:color="auto"/>
      </w:divBdr>
    </w:div>
    <w:div w:id="1689062596">
      <w:bodyDiv w:val="1"/>
      <w:marLeft w:val="0"/>
      <w:marRight w:val="0"/>
      <w:marTop w:val="0"/>
      <w:marBottom w:val="0"/>
      <w:divBdr>
        <w:top w:val="none" w:sz="0" w:space="0" w:color="auto"/>
        <w:left w:val="none" w:sz="0" w:space="0" w:color="auto"/>
        <w:bottom w:val="none" w:sz="0" w:space="0" w:color="auto"/>
        <w:right w:val="none" w:sz="0" w:space="0" w:color="auto"/>
      </w:divBdr>
    </w:div>
    <w:div w:id="1972441739">
      <w:bodyDiv w:val="1"/>
      <w:marLeft w:val="0"/>
      <w:marRight w:val="0"/>
      <w:marTop w:val="0"/>
      <w:marBottom w:val="0"/>
      <w:divBdr>
        <w:top w:val="none" w:sz="0" w:space="0" w:color="auto"/>
        <w:left w:val="none" w:sz="0" w:space="0" w:color="auto"/>
        <w:bottom w:val="none" w:sz="0" w:space="0" w:color="auto"/>
        <w:right w:val="none" w:sz="0" w:space="0" w:color="auto"/>
      </w:divBdr>
    </w:div>
    <w:div w:id="1992637182">
      <w:bodyDiv w:val="1"/>
      <w:marLeft w:val="0"/>
      <w:marRight w:val="0"/>
      <w:marTop w:val="0"/>
      <w:marBottom w:val="0"/>
      <w:divBdr>
        <w:top w:val="none" w:sz="0" w:space="0" w:color="auto"/>
        <w:left w:val="none" w:sz="0" w:space="0" w:color="auto"/>
        <w:bottom w:val="none" w:sz="0" w:space="0" w:color="auto"/>
        <w:right w:val="none" w:sz="0" w:space="0" w:color="auto"/>
      </w:divBdr>
    </w:div>
    <w:div w:id="20548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AD3B08054C0C40B1B878964FFD17EE" ma:contentTypeVersion="19" ma:contentTypeDescription="Ein neues Dokument erstellen." ma:contentTypeScope="" ma:versionID="b1fa0e2ab721e5a598575464dcc350b7">
  <xsd:schema xmlns:xsd="http://www.w3.org/2001/XMLSchema" xmlns:xs="http://www.w3.org/2001/XMLSchema" xmlns:p="http://schemas.microsoft.com/office/2006/metadata/properties" xmlns:ns2="fc76d9b3-34c9-4608-a920-c4d9edb0b22a" xmlns:ns3="eab0ca8e-93d2-40a5-86b5-8a531787be4e" targetNamespace="http://schemas.microsoft.com/office/2006/metadata/properties" ma:root="true" ma:fieldsID="492a28fe020613bdeaaf9728859185ab" ns2:_="" ns3:_="">
    <xsd:import namespace="fc76d9b3-34c9-4608-a920-c4d9edb0b22a"/>
    <xsd:import namespace="eab0ca8e-93d2-40a5-86b5-8a531787be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6d9b3-34c9-4608-a920-c4d9edb0b22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74c1c89-55ef-4513-becf-b108e39b8aec}" ma:internalName="TaxCatchAll" ma:showField="CatchAllData" ma:web="fc76d9b3-34c9-4608-a920-c4d9edb0b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b0ca8e-93d2-40a5-86b5-8a531787be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617f17d-aa1b-47d3-ba7e-67d8ed10642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76d9b3-34c9-4608-a920-c4d9edb0b22a" xsi:nil="true"/>
    <lcf76f155ced4ddcb4097134ff3c332f xmlns="eab0ca8e-93d2-40a5-86b5-8a531787be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roperties xmlns="http://www.imanage.com/work/xmlschema">
  <documentid>MANDATE!20339492.2</documentid>
  <senderid>OSD</senderid>
  <senderemail>DAVID.OSER@HOMBURGER.CH</senderemail>
  <lastmodified>2026-04-03T09:43:00.0000000+02:00</lastmodified>
  <database>MANDATE</database>
</properties>
</file>

<file path=customXml/itemProps1.xml><?xml version="1.0" encoding="utf-8"?>
<ds:datastoreItem xmlns:ds="http://schemas.openxmlformats.org/officeDocument/2006/customXml" ds:itemID="{43B1F0CE-26A9-463A-9500-3A07BD4BF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6d9b3-34c9-4608-a920-c4d9edb0b22a"/>
    <ds:schemaRef ds:uri="eab0ca8e-93d2-40a5-86b5-8a531787b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5335-BEB0-4D58-A413-8DE93793E0C4}">
  <ds:schemaRefs>
    <ds:schemaRef ds:uri="http://schemas.microsoft.com/sharepoint/v3/contenttype/forms"/>
  </ds:schemaRefs>
</ds:datastoreItem>
</file>

<file path=customXml/itemProps3.xml><?xml version="1.0" encoding="utf-8"?>
<ds:datastoreItem xmlns:ds="http://schemas.openxmlformats.org/officeDocument/2006/customXml" ds:itemID="{402FC5C4-3767-4F83-9157-45B75D639325}">
  <ds:schemaRefs>
    <ds:schemaRef ds:uri="http://schemas.microsoft.com/office/2006/metadata/properties"/>
    <ds:schemaRef ds:uri="http://schemas.microsoft.com/office/infopath/2007/PartnerControls"/>
    <ds:schemaRef ds:uri="fc76d9b3-34c9-4608-a920-c4d9edb0b22a"/>
    <ds:schemaRef ds:uri="eab0ca8e-93d2-40a5-86b5-8a531787be4e"/>
  </ds:schemaRefs>
</ds:datastoreItem>
</file>

<file path=customXml/itemProps4.xml><?xml version="1.0" encoding="utf-8"?>
<ds:datastoreItem xmlns:ds="http://schemas.openxmlformats.org/officeDocument/2006/customXml" ds:itemID="{2A179F40-20AF-4538-8652-9496B94EE3DD}">
  <ds:schemaRefs>
    <ds:schemaRef ds:uri="http://schemas.openxmlformats.org/officeDocument/2006/bibliography"/>
  </ds:schemaRefs>
</ds:datastoreItem>
</file>

<file path=customXml/itemProps5.xml><?xml version="1.0" encoding="utf-8"?>
<ds:datastoreItem xmlns:ds="http://schemas.openxmlformats.org/officeDocument/2006/customXml" ds:itemID="{3FF2BC20-1CCB-4DFF-8A4F-7282965CBAA3}">
  <ds:schemaRefs>
    <ds:schemaRef ds:uri="http://www.imanage.com/work/xmlschema"/>
  </ds:schemaRefs>
</ds:datastoreItem>
</file>

<file path=docMetadata/LabelInfo.xml><?xml version="1.0" encoding="utf-8"?>
<clbl:labelList xmlns:clbl="http://schemas.microsoft.com/office/2020/mipLabelMetadata">
  <clbl:label id="{060d28e6-2711-41c7-a68f-702f23d4c114}" enabled="1" method="Standard" siteId="{f0660551-7f49-4caa-9af7-c22f7cb31c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13330</Words>
  <Characters>80114</Characters>
  <Application>Microsoft Office Word</Application>
  <DocSecurity>0</DocSecurity>
  <Lines>2503</Lines>
  <Paragraphs>584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Homburger AG</Company>
  <LinksUpToDate>false</LinksUpToDate>
  <CharactersWithSpaces>92860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HMB</dc:creator>
  <cp:lastModifiedBy>Hallaschka, Sandra</cp:lastModifiedBy>
  <cp:revision>2</cp:revision>
  <dcterms:created xsi:type="dcterms:W3CDTF">2026-07-14T06:14:00Z</dcterms:created>
  <dcterms:modified xsi:type="dcterms:W3CDTF">2026-07-14T06:14:00Z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0x01010017AD3B08054C0C40B1B878964FFD17EE</vt:lpwstr>
  </property>
  <property fmtid="{D5CDD505-2E9C-101B-9397-08002B2CF9AE}" pid="4" name="MSIP_Label_060d28e6-2711-41c7-a68f-702f23d4c114_Enabled">
    <vt:lpwstr>true</vt:lpwstr>
  </property>
  <property fmtid="{D5CDD505-2E9C-101B-9397-08002B2CF9AE}" pid="5" name="MSIP_Label_060d28e6-2711-41c7-a68f-702f23d4c114_SetDate">
    <vt:lpwstr>2022-09-06T17:08:46Z</vt:lpwstr>
  </property>
  <property fmtid="{D5CDD505-2E9C-101B-9397-08002B2CF9AE}" pid="6" name="MSIP_Label_060d28e6-2711-41c7-a68f-702f23d4c114_Method">
    <vt:lpwstr>Standard</vt:lpwstr>
  </property>
  <property fmtid="{D5CDD505-2E9C-101B-9397-08002B2CF9AE}" pid="7" name="MSIP_Label_060d28e6-2711-41c7-a68f-702f23d4c114_Name">
    <vt:lpwstr>General</vt:lpwstr>
  </property>
  <property fmtid="{D5CDD505-2E9C-101B-9397-08002B2CF9AE}" pid="8" name="MSIP_Label_060d28e6-2711-41c7-a68f-702f23d4c114_SiteId">
    <vt:lpwstr>f0660551-7f49-4caa-9af7-c22f7cb31c24</vt:lpwstr>
  </property>
  <property fmtid="{D5CDD505-2E9C-101B-9397-08002B2CF9AE}" pid="9" name="MSIP_Label_060d28e6-2711-41c7-a68f-702f23d4c114_ActionId">
    <vt:lpwstr>f43f48ab-5f9b-4372-8107-8946c28cd881</vt:lpwstr>
  </property>
  <property fmtid="{D5CDD505-2E9C-101B-9397-08002B2CF9AE}" pid="10" name="MSIP_Label_060d28e6-2711-41c7-a68f-702f23d4c114_ContentBits">
    <vt:lpwstr>0</vt:lpwstr>
  </property>
  <property fmtid="{D5CDD505-2E9C-101B-9397-08002B2CF9AE}" pid="11" name="iManageFooter">
    <vt:lpwstr>401533/19611215v1 </vt:lpwstr>
  </property>
  <property fmtid="{D5CDD505-2E9C-101B-9397-08002B2CF9AE}" pid="12" name="docLang">
    <vt:lpwstr>en</vt:lpwstr>
  </property>
  <property fmtid="{D5CDD505-2E9C-101B-9397-08002B2CF9AE}" pid="13" name="MediaServiceImageTags">
    <vt:lpwstr/>
  </property>
</Properties>
</file>